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6500"/>
        <w:gridCol w:w="2860"/>
      </w:tblGrid>
      <w:tr>
        <w:tc>
          <w:tcPr>
            <w:tcW w:type="dxa" w:w="6500"/>
            <w:tcMar>
              <w:top w:w="0" w:type="dxa"/>
              <w:start w:w="0" w:type="dxa"/>
              <w:bottom w:w="0" w:type="dxa"/>
              <w:end w:w="0" w:type="dxa"/>
            </w:tcMar>
            <w:vAlign w:val="center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  <w:insideH w:val="single" w:sz="8" w:space="0" w:color="FFFFFF"/>
              <w:insideV w:val="single" w:sz="8" w:space="0" w:color="FFFFFF"/>
            </w:tcBorders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475488" cy="47548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ordeal-icon-v216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488" cy="47548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eorgia" w:hAnsi="Georgia" w:eastAsia="Microsoft YaHei"/>
                <w:color w:val="24221F"/>
                <w:sz w:val="38"/>
              </w:rPr>
              <w:t xml:space="preserve">  Fordeal</w:t>
            </w:r>
          </w:p>
        </w:tc>
        <w:tc>
          <w:tcPr>
            <w:tcW w:type="dxa" w:w="2860"/>
            <w:tcMar>
              <w:top w:w="0" w:type="dxa"/>
              <w:start w:w="0" w:type="dxa"/>
              <w:bottom w:w="0" w:type="dxa"/>
              <w:end w:w="0" w:type="dxa"/>
            </w:tcMar>
            <w:vAlign w:val="center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  <w:insideH w:val="single" w:sz="8" w:space="0" w:color="FFFFFF"/>
              <w:insideV w:val="single" w:sz="8" w:space="0" w:color="FFFFFF"/>
            </w:tcBorders>
          </w:tcPr>
          <w:p>
            <w:pPr>
              <w:jc w:val="right"/>
            </w:pPr>
            <w:r>
              <w:rPr>
                <w:rFonts w:ascii="Calibri" w:hAnsi="Calibri" w:eastAsia="Microsoft YaHei"/>
                <w:b/>
                <w:color w:val="716D65"/>
                <w:sz w:val="18"/>
              </w:rPr>
              <w:t>合作资料 · V1.0</w:t>
              <w:br/>
              <w:t>2026年8月</w:t>
            </w:r>
          </w:p>
        </w:tc>
      </w:tr>
    </w:tbl>
    <w:p>
      <w:pPr>
        <w:spacing w:after="680"/>
      </w:pPr>
    </w:p>
    <w:p>
      <w:pPr>
        <w:spacing w:before="0" w:after="160"/>
      </w:pPr>
      <w:r>
        <w:rPr>
          <w:rFonts w:ascii="Calibri" w:hAnsi="Calibri" w:eastAsia="Microsoft YaHei"/>
          <w:b/>
          <w:color w:val="B18B4F"/>
          <w:sz w:val="18"/>
        </w:rPr>
        <w:t>GLOBAL COMMERCE GROWTH PROGRAM</w:t>
      </w:r>
    </w:p>
    <w:p>
      <w:pPr>
        <w:spacing w:before="0" w:after="200"/>
        <w:jc w:val="left"/>
      </w:pPr>
      <w:r>
        <w:rPr>
          <w:rFonts w:ascii="Georgia" w:hAnsi="Georgia" w:eastAsia="Microsoft YaHei"/>
          <w:b w:val="0"/>
          <w:color w:val="24221F"/>
          <w:sz w:val="62"/>
        </w:rPr>
        <w:t>Fordeal 全球好物</w:t>
        <w:br/>
        <w:t>合作增长计划</w:t>
      </w:r>
    </w:p>
    <w:p>
      <w:pPr>
        <w:spacing w:before="0" w:after="400"/>
        <w:jc w:val="left"/>
      </w:pPr>
      <w:r>
        <w:rPr>
          <w:rFonts w:ascii="Calibri" w:hAnsi="Calibri" w:eastAsia="Microsoft YaHei"/>
          <w:color w:val="716D65"/>
          <w:sz w:val="26"/>
        </w:rPr>
        <w:t>连接平台、卖家、推销员与客户的全链路协作方案</w:t>
      </w:r>
    </w:p>
    <w:p>
      <w:pPr>
        <w:spacing w:after="400"/>
        <w:jc w:val="center"/>
      </w:pPr>
      <w:r>
        <w:drawing>
          <wp:inline xmlns:a="http://schemas.openxmlformats.org/drawingml/2006/main" xmlns:pic="http://schemas.openxmlformats.org/drawingml/2006/picture">
            <wp:extent cx="5943600" cy="334505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rketplace-hero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50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/>
        <w:pageBreakBefore/>
        <w:spacing w:before="0" w:after="0" w:line="20" w:lineRule="exact"/>
      </w:pPr>
      <w:r>
        <w:rPr>
          <w:rFonts w:ascii="Calibri" w:hAnsi="Calibri" w:eastAsia="Microsoft YaHei"/>
          <w:color w:val="FFFFFF"/>
          <w:sz w:val="2"/>
        </w:rPr>
        <w:t>​</w:t>
      </w:r>
    </w:p>
    <w:p>
      <w:pPr>
        <w:spacing w:before="0" w:after="160"/>
      </w:pPr>
      <w:r>
        <w:rPr>
          <w:rFonts w:ascii="Calibri" w:hAnsi="Calibri" w:eastAsia="Microsoft YaHei"/>
          <w:b/>
          <w:color w:val="B18B4F"/>
          <w:sz w:val="18"/>
        </w:rPr>
        <w:t>DOCUMENT MAP</w:t>
      </w:r>
    </w:p>
    <w:p>
      <w:pPr>
        <w:spacing w:before="0" w:after="280"/>
        <w:jc w:val="left"/>
      </w:pPr>
      <w:r>
        <w:rPr>
          <w:rFonts w:ascii="Georgia" w:hAnsi="Georgia" w:eastAsia="Microsoft YaHei"/>
          <w:b w:val="0"/>
          <w:color w:val="24221F"/>
          <w:sz w:val="52"/>
        </w:rPr>
        <w:t>内容导航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00"/>
        <w:gridCol w:w="8460"/>
      </w:tblGrid>
      <w:tr>
        <w:tc>
          <w:tcPr>
            <w:tcW w:type="dxa" w:w="900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  <w:insideH w:val="single" w:sz="8" w:space="0" w:color="FFFFFF"/>
              <w:insideV w:val="single" w:sz="8" w:space="0" w:color="FFFFFF"/>
            </w:tcBorders>
          </w:tcPr>
          <w:p>
            <w:r>
              <w:rPr>
                <w:rFonts w:ascii="Calibri" w:hAnsi="Calibri" w:eastAsia="Microsoft YaHei"/>
                <w:b/>
                <w:color w:val="B18B4F"/>
                <w:sz w:val="24"/>
              </w:rPr>
              <w:t>01</w:t>
            </w:r>
          </w:p>
        </w:tc>
        <w:tc>
          <w:tcPr>
            <w:tcW w:type="dxa" w:w="8460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  <w:insideH w:val="single" w:sz="8" w:space="0" w:color="FFFFFF"/>
              <w:insideV w:val="single" w:sz="8" w:space="0" w:color="FFFFFF"/>
            </w:tcBorders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24221F"/>
                <w:sz w:val="24"/>
              </w:rPr>
              <w:t>项目定位与背景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00"/>
        <w:gridCol w:w="8460"/>
      </w:tblGrid>
      <w:tr>
        <w:tc>
          <w:tcPr>
            <w:tcW w:type="dxa" w:w="900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  <w:insideH w:val="single" w:sz="8" w:space="0" w:color="FFFFFF"/>
              <w:insideV w:val="single" w:sz="8" w:space="0" w:color="FFFFFF"/>
            </w:tcBorders>
          </w:tcPr>
          <w:p>
            <w:r>
              <w:rPr>
                <w:rFonts w:ascii="Calibri" w:hAnsi="Calibri" w:eastAsia="Microsoft YaHei"/>
                <w:b/>
                <w:color w:val="B18B4F"/>
                <w:sz w:val="24"/>
              </w:rPr>
              <w:t>02</w:t>
            </w:r>
          </w:p>
        </w:tc>
        <w:tc>
          <w:tcPr>
            <w:tcW w:type="dxa" w:w="8460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  <w:insideH w:val="single" w:sz="8" w:space="0" w:color="FFFFFF"/>
              <w:insideV w:val="single" w:sz="8" w:space="0" w:color="FFFFFF"/>
            </w:tcBorders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24221F"/>
                <w:sz w:val="24"/>
              </w:rPr>
              <w:t>平台能力与数据展示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00"/>
        <w:gridCol w:w="8460"/>
      </w:tblGrid>
      <w:tr>
        <w:tc>
          <w:tcPr>
            <w:tcW w:type="dxa" w:w="900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  <w:insideH w:val="single" w:sz="8" w:space="0" w:color="FFFFFF"/>
              <w:insideV w:val="single" w:sz="8" w:space="0" w:color="FFFFFF"/>
            </w:tcBorders>
          </w:tcPr>
          <w:p>
            <w:r>
              <w:rPr>
                <w:rFonts w:ascii="Calibri" w:hAnsi="Calibri" w:eastAsia="Microsoft YaHei"/>
                <w:b/>
                <w:color w:val="B18B4F"/>
                <w:sz w:val="24"/>
              </w:rPr>
              <w:t>03</w:t>
            </w:r>
          </w:p>
        </w:tc>
        <w:tc>
          <w:tcPr>
            <w:tcW w:type="dxa" w:w="8460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  <w:insideH w:val="single" w:sz="8" w:space="0" w:color="FFFFFF"/>
              <w:insideV w:val="single" w:sz="8" w:space="0" w:color="FFFFFF"/>
            </w:tcBorders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24221F"/>
                <w:sz w:val="24"/>
              </w:rPr>
              <w:t>合作案例与验证方式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00"/>
        <w:gridCol w:w="8460"/>
      </w:tblGrid>
      <w:tr>
        <w:tc>
          <w:tcPr>
            <w:tcW w:type="dxa" w:w="900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  <w:insideH w:val="single" w:sz="8" w:space="0" w:color="FFFFFF"/>
              <w:insideV w:val="single" w:sz="8" w:space="0" w:color="FFFFFF"/>
            </w:tcBorders>
          </w:tcPr>
          <w:p>
            <w:r>
              <w:rPr>
                <w:rFonts w:ascii="Calibri" w:hAnsi="Calibri" w:eastAsia="Microsoft YaHei"/>
                <w:b/>
                <w:color w:val="B18B4F"/>
                <w:sz w:val="24"/>
              </w:rPr>
              <w:t>04</w:t>
            </w:r>
          </w:p>
        </w:tc>
        <w:tc>
          <w:tcPr>
            <w:tcW w:type="dxa" w:w="8460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  <w:insideH w:val="single" w:sz="8" w:space="0" w:color="FFFFFF"/>
              <w:insideV w:val="single" w:sz="8" w:space="0" w:color="FFFFFF"/>
            </w:tcBorders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24221F"/>
                <w:sz w:val="24"/>
              </w:rPr>
              <w:t>平台与运营体系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00"/>
        <w:gridCol w:w="8460"/>
      </w:tblGrid>
      <w:tr>
        <w:tc>
          <w:tcPr>
            <w:tcW w:type="dxa" w:w="900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  <w:insideH w:val="single" w:sz="8" w:space="0" w:color="FFFFFF"/>
              <w:insideV w:val="single" w:sz="8" w:space="0" w:color="FFFFFF"/>
            </w:tcBorders>
          </w:tcPr>
          <w:p>
            <w:r>
              <w:rPr>
                <w:rFonts w:ascii="Calibri" w:hAnsi="Calibri" w:eastAsia="Microsoft YaHei"/>
                <w:b/>
                <w:color w:val="B18B4F"/>
                <w:sz w:val="24"/>
              </w:rPr>
              <w:t>05</w:t>
            </w:r>
          </w:p>
        </w:tc>
        <w:tc>
          <w:tcPr>
            <w:tcW w:type="dxa" w:w="8460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  <w:insideH w:val="single" w:sz="8" w:space="0" w:color="FFFFFF"/>
              <w:insideV w:val="single" w:sz="8" w:space="0" w:color="FFFFFF"/>
            </w:tcBorders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24221F"/>
                <w:sz w:val="24"/>
              </w:rPr>
              <w:t>项目运作原理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00"/>
        <w:gridCol w:w="8460"/>
      </w:tblGrid>
      <w:tr>
        <w:tc>
          <w:tcPr>
            <w:tcW w:type="dxa" w:w="900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  <w:insideH w:val="single" w:sz="8" w:space="0" w:color="FFFFFF"/>
              <w:insideV w:val="single" w:sz="8" w:space="0" w:color="FFFFFF"/>
            </w:tcBorders>
          </w:tcPr>
          <w:p>
            <w:r>
              <w:rPr>
                <w:rFonts w:ascii="Calibri" w:hAnsi="Calibri" w:eastAsia="Microsoft YaHei"/>
                <w:b/>
                <w:color w:val="B18B4F"/>
                <w:sz w:val="24"/>
              </w:rPr>
              <w:t>06</w:t>
            </w:r>
          </w:p>
        </w:tc>
        <w:tc>
          <w:tcPr>
            <w:tcW w:type="dxa" w:w="8460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  <w:insideH w:val="single" w:sz="8" w:space="0" w:color="FFFFFF"/>
              <w:insideV w:val="single" w:sz="8" w:space="0" w:color="FFFFFF"/>
            </w:tcBorders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24221F"/>
                <w:sz w:val="24"/>
              </w:rPr>
              <w:t>项目优势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00"/>
        <w:gridCol w:w="8460"/>
      </w:tblGrid>
      <w:tr>
        <w:tc>
          <w:tcPr>
            <w:tcW w:type="dxa" w:w="900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  <w:insideH w:val="single" w:sz="8" w:space="0" w:color="FFFFFF"/>
              <w:insideV w:val="single" w:sz="8" w:space="0" w:color="FFFFFF"/>
            </w:tcBorders>
          </w:tcPr>
          <w:p>
            <w:r>
              <w:rPr>
                <w:rFonts w:ascii="Calibri" w:hAnsi="Calibri" w:eastAsia="Microsoft YaHei"/>
                <w:b/>
                <w:color w:val="B18B4F"/>
                <w:sz w:val="24"/>
              </w:rPr>
              <w:t>07</w:t>
            </w:r>
          </w:p>
        </w:tc>
        <w:tc>
          <w:tcPr>
            <w:tcW w:type="dxa" w:w="8460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  <w:insideH w:val="single" w:sz="8" w:space="0" w:color="FFFFFF"/>
              <w:insideV w:val="single" w:sz="8" w:space="0" w:color="FFFFFF"/>
            </w:tcBorders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24221F"/>
                <w:sz w:val="24"/>
              </w:rPr>
              <w:t>参与条件与设备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00"/>
        <w:gridCol w:w="8460"/>
      </w:tblGrid>
      <w:tr>
        <w:tc>
          <w:tcPr>
            <w:tcW w:type="dxa" w:w="900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  <w:insideH w:val="single" w:sz="8" w:space="0" w:color="FFFFFF"/>
              <w:insideV w:val="single" w:sz="8" w:space="0" w:color="FFFFFF"/>
            </w:tcBorders>
          </w:tcPr>
          <w:p>
            <w:r>
              <w:rPr>
                <w:rFonts w:ascii="Calibri" w:hAnsi="Calibri" w:eastAsia="Microsoft YaHei"/>
                <w:b/>
                <w:color w:val="B18B4F"/>
                <w:sz w:val="24"/>
              </w:rPr>
              <w:t>08</w:t>
            </w:r>
          </w:p>
        </w:tc>
        <w:tc>
          <w:tcPr>
            <w:tcW w:type="dxa" w:w="8460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  <w:insideH w:val="single" w:sz="8" w:space="0" w:color="FFFFFF"/>
              <w:insideV w:val="single" w:sz="8" w:space="0" w:color="FFFFFF"/>
            </w:tcBorders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24221F"/>
                <w:sz w:val="24"/>
              </w:rPr>
              <w:t>收益测算模型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00"/>
        <w:gridCol w:w="8460"/>
      </w:tblGrid>
      <w:tr>
        <w:tc>
          <w:tcPr>
            <w:tcW w:type="dxa" w:w="900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  <w:insideH w:val="single" w:sz="8" w:space="0" w:color="FFFFFF"/>
              <w:insideV w:val="single" w:sz="8" w:space="0" w:color="FFFFFF"/>
            </w:tcBorders>
          </w:tcPr>
          <w:p>
            <w:r>
              <w:rPr>
                <w:rFonts w:ascii="Calibri" w:hAnsi="Calibri" w:eastAsia="Microsoft YaHei"/>
                <w:b/>
                <w:color w:val="B18B4F"/>
                <w:sz w:val="24"/>
              </w:rPr>
              <w:t>09</w:t>
            </w:r>
          </w:p>
        </w:tc>
        <w:tc>
          <w:tcPr>
            <w:tcW w:type="dxa" w:w="8460"/>
            <w:tcMar>
              <w:top w:w="70" w:type="dxa"/>
              <w:start w:w="60" w:type="dxa"/>
              <w:bottom w:w="70" w:type="dxa"/>
              <w:end w:w="60" w:type="dxa"/>
            </w:tcMar>
            <w:vAlign w:val="center"/>
            <w:tcBorders>
              <w:top w:val="single" w:sz="8" w:space="0" w:color="FFFFFF"/>
              <w:start w:val="single" w:sz="8" w:space="0" w:color="FFFFFF"/>
              <w:bottom w:val="single" w:sz="8" w:space="0" w:color="FFFFFF"/>
              <w:end w:val="single" w:sz="8" w:space="0" w:color="FFFFFF"/>
              <w:insideH w:val="single" w:sz="8" w:space="0" w:color="FFFFFF"/>
              <w:insideV w:val="single" w:sz="8" w:space="0" w:color="FFFFFF"/>
            </w:tcBorders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24221F"/>
                <w:sz w:val="24"/>
              </w:rPr>
              <w:t>合作方案与启动</w:t>
            </w:r>
          </w:p>
        </w:tc>
      </w:tr>
    </w:tbl>
    <w:p>
      <w:pPr>
        <w:keepNext/>
        <w:pageBreakBefore/>
        <w:spacing w:before="0" w:after="0" w:line="20" w:lineRule="exact"/>
      </w:pPr>
      <w:r>
        <w:rPr>
          <w:rFonts w:ascii="Calibri" w:hAnsi="Calibri" w:eastAsia="Microsoft YaHei"/>
          <w:color w:val="FFFFFF"/>
          <w:sz w:val="2"/>
        </w:rPr>
        <w:t>​</w:t>
      </w:r>
    </w:p>
    <w:p>
      <w:pPr>
        <w:pStyle w:val="Heading1"/>
      </w:pPr>
      <w:r>
        <w:rPr>
          <w:rFonts w:ascii="Calibri" w:hAnsi="Calibri" w:eastAsia="Microsoft YaHei"/>
          <w:b/>
          <w:color w:val="8A6D42"/>
          <w:sz w:val="32"/>
        </w:rPr>
        <w:t>一  项目定位与背景</w:t>
      </w:r>
    </w:p>
    <w:p>
      <w:pPr>
        <w:spacing w:before="0" w:after="200"/>
      </w:pPr>
      <w:r>
        <w:rPr>
          <w:rFonts w:ascii="Calibri" w:hAnsi="Calibri" w:eastAsia="Microsoft YaHei"/>
          <w:i/>
          <w:color w:val="716D65"/>
          <w:sz w:val="20"/>
        </w:rPr>
        <w:t>从单点卖货转向可审计的多角色平台协作</w:t>
      </w:r>
    </w:p>
    <w:p>
      <w:pPr>
        <w:jc w:val="both"/>
      </w:pPr>
      <w:r>
        <w:rPr>
          <w:rFonts w:ascii="Calibri" w:hAnsi="Calibri" w:eastAsia="Microsoft YaHei"/>
          <w:color w:val="24221F"/>
          <w:sz w:val="22"/>
        </w:rPr>
        <w:t>Fordeal 是一个连接买家、卖家、推销员与平台运营团队的全球好物商城。平台的核心价值不是承诺“自动赚钱”，而是把商品展示、营销协作、订单处理、库存与采购、物流跟踪、结算与审核集中到同一套可追踪流程中。</w:t>
      </w:r>
    </w:p>
    <w:p>
      <w:pPr>
        <w:jc w:val="both"/>
      </w:pPr>
      <w:r>
        <w:rPr>
          <w:rFonts w:ascii="Calibri" w:hAnsi="Calibri" w:eastAsia="Microsoft YaHei"/>
          <w:color w:val="24221F"/>
          <w:sz w:val="22"/>
        </w:rPr>
        <w:t>传统跨境与多角色电商常见的问题，是信息分散、责任不清、重复下单、库存与账务不同步，以及依赖人工催办。Fordeal 的建设方向，是让每个角色只看到与自己职责相关的数据，并通过状态、权限和审计记录减少协作摩擦。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B18B4F"/>
                <w:sz w:val="20"/>
              </w:rPr>
              <w:t>一句话说明</w:t>
            </w:r>
          </w:p>
          <w:p>
            <w:pPr>
              <w:spacing w:after="0" w:line="300" w:lineRule="auto"/>
            </w:pPr>
            <w:r>
              <w:rPr>
                <w:rFonts w:ascii="Calibri" w:hAnsi="Calibri" w:eastAsia="Microsoft YaHei"/>
                <w:color w:val="24221F"/>
                <w:sz w:val="21"/>
              </w:rPr>
              <w:t>卖家提供商品与履约能力，推销员完成推广和客户协助，买家在商城完成消费，平台负责规则、权限、结算、风控与运营支持。</w:t>
            </w:r>
          </w:p>
        </w:tc>
      </w:tr>
    </w:tbl>
    <w:p>
      <w:pPr>
        <w:spacing w:after="40"/>
      </w:pPr>
    </w:p>
    <w:p>
      <w:pPr>
        <w:pStyle w:val="Heading2"/>
      </w:pPr>
      <w:r>
        <w:t>适合的合作对象</w:t>
      </w:r>
    </w:p>
    <w:p>
      <w:pPr>
        <w:pStyle w:val="ListBullet"/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有客户资源、内容渠道或线下推广能力，希望通过商品推广获得合规佣金的个人或团队。</w:t>
      </w:r>
    </w:p>
    <w:p>
      <w:pPr>
        <w:pStyle w:val="ListBullet"/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具备稳定供货、合理定价、售后服务和跨区域履约能力的卖家或供应商。</w:t>
      </w:r>
    </w:p>
    <w:p>
      <w:pPr>
        <w:pStyle w:val="ListBullet"/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需要统一管理多名推销员、多个卖家与批量订单的运营团队。</w:t>
      </w:r>
    </w:p>
    <w:p>
      <w:pPr>
        <w:pStyle w:val="Heading2"/>
      </w:pPr>
      <w:r>
        <w:t>平台不适合的情况</w:t>
      </w:r>
    </w:p>
    <w:p>
      <w:pPr>
        <w:pStyle w:val="ListBullet"/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希望在未学习规则、未完成身份与权限配置的情况下直接批量操作。</w:t>
      </w:r>
    </w:p>
    <w:p>
      <w:pPr>
        <w:pStyle w:val="ListBullet"/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依赖夸大收益、虚假成交、刷单、冒用客户信息或规避平台风控的经营方式。</w:t>
      </w:r>
    </w:p>
    <w:p>
      <w:pPr>
        <w:pStyle w:val="ListBullet"/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无法提供真实商品、合法来源、售后责任或必要业务资质的卖家。</w:t>
      </w:r>
    </w:p>
    <w:p>
      <w:pPr>
        <w:keepNext/>
        <w:pageBreakBefore/>
        <w:spacing w:before="0" w:after="0" w:line="20" w:lineRule="exact"/>
      </w:pPr>
      <w:r>
        <w:rPr>
          <w:rFonts w:ascii="Calibri" w:hAnsi="Calibri" w:eastAsia="Microsoft YaHei"/>
          <w:color w:val="FFFFFF"/>
          <w:sz w:val="2"/>
        </w:rPr>
        <w:t>​</w:t>
      </w:r>
    </w:p>
    <w:p>
      <w:pPr>
        <w:pStyle w:val="Heading1"/>
      </w:pPr>
      <w:r>
        <w:rPr>
          <w:rFonts w:ascii="Calibri" w:hAnsi="Calibri" w:eastAsia="Microsoft YaHei"/>
          <w:b/>
          <w:color w:val="8A6D42"/>
          <w:sz w:val="32"/>
        </w:rPr>
        <w:t>二  平台能力与数据展示</w:t>
      </w:r>
    </w:p>
    <w:p>
      <w:pPr>
        <w:spacing w:before="0" w:after="200"/>
      </w:pPr>
      <w:r>
        <w:rPr>
          <w:rFonts w:ascii="Calibri" w:hAnsi="Calibri" w:eastAsia="Microsoft YaHei"/>
          <w:i/>
          <w:color w:val="716D65"/>
          <w:sz w:val="20"/>
        </w:rPr>
        <w:t>对外只展示可核验、可追溯、口径一致的数据</w:t>
      </w:r>
    </w:p>
    <w:p>
      <w:pPr>
        <w:jc w:val="both"/>
      </w:pPr>
      <w:r>
        <w:rPr>
          <w:rFonts w:ascii="Calibri" w:hAnsi="Calibri" w:eastAsia="Microsoft YaHei"/>
          <w:color w:val="24221F"/>
          <w:sz w:val="22"/>
        </w:rPr>
        <w:t>以下指标统一为可审计口径；未核验的数据或来源不明的截图不得对外宣传。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800"/>
        <w:gridCol w:w="4380"/>
        <w:gridCol w:w="1500"/>
        <w:gridCol w:w="1680"/>
      </w:tblGrid>
      <w:tr>
        <w:trPr>
          <w:tblHeader w:val="true"/>
          <w:cantSplit/>
        </w:trPr>
        <w:tc>
          <w:tcPr>
            <w:tcW w:type="dxa" w:w="18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24221F"/>
            <w:tcBorders>
              <w:top w:val="single" w:sz="8" w:space="0" w:color="24221F"/>
              <w:start w:val="single" w:sz="8" w:space="0" w:color="24221F"/>
              <w:bottom w:val="single" w:sz="8" w:space="0" w:color="24221F"/>
              <w:end w:val="single" w:sz="8" w:space="0" w:color="24221F"/>
              <w:insideH w:val="single" w:sz="8" w:space="0" w:color="24221F"/>
              <w:insideV w:val="single" w:sz="8" w:space="0" w:color="24221F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指标</w:t>
            </w:r>
          </w:p>
        </w:tc>
        <w:tc>
          <w:tcPr>
            <w:tcW w:type="dxa" w:w="43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24221F"/>
            <w:tcBorders>
              <w:top w:val="single" w:sz="8" w:space="0" w:color="24221F"/>
              <w:start w:val="single" w:sz="8" w:space="0" w:color="24221F"/>
              <w:bottom w:val="single" w:sz="8" w:space="0" w:color="24221F"/>
              <w:end w:val="single" w:sz="8" w:space="0" w:color="24221F"/>
              <w:insideH w:val="single" w:sz="8" w:space="0" w:color="24221F"/>
              <w:insideV w:val="single" w:sz="8" w:space="0" w:color="24221F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统一口径</w:t>
            </w:r>
          </w:p>
        </w:tc>
        <w:tc>
          <w:tcPr>
            <w:tcW w:type="dxa" w:w="15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24221F"/>
            <w:tcBorders>
              <w:top w:val="single" w:sz="8" w:space="0" w:color="24221F"/>
              <w:start w:val="single" w:sz="8" w:space="0" w:color="24221F"/>
              <w:bottom w:val="single" w:sz="8" w:space="0" w:color="24221F"/>
              <w:end w:val="single" w:sz="8" w:space="0" w:color="24221F"/>
              <w:insideH w:val="single" w:sz="8" w:space="0" w:color="24221F"/>
              <w:insideV w:val="single" w:sz="8" w:space="0" w:color="24221F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当前值</w:t>
            </w:r>
          </w:p>
        </w:tc>
        <w:tc>
          <w:tcPr>
            <w:tcW w:type="dxa" w:w="1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24221F"/>
            <w:tcBorders>
              <w:top w:val="single" w:sz="8" w:space="0" w:color="24221F"/>
              <w:start w:val="single" w:sz="8" w:space="0" w:color="24221F"/>
              <w:bottom w:val="single" w:sz="8" w:space="0" w:color="24221F"/>
              <w:end w:val="single" w:sz="8" w:space="0" w:color="24221F"/>
              <w:insideH w:val="single" w:sz="8" w:space="0" w:color="24221F"/>
              <w:insideV w:val="single" w:sz="8" w:space="0" w:color="24221F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更新频率</w:t>
            </w:r>
          </w:p>
        </w:tc>
      </w:tr>
      <w:tr>
        <w:trPr>
          <w:cantSplit/>
        </w:trPr>
        <w:tc>
          <w:tcPr>
            <w:tcW w:type="dxa" w:w="18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9"/>
              </w:rPr>
              <w:t>活跃卖家</w:t>
            </w:r>
          </w:p>
        </w:tc>
        <w:tc>
          <w:tcPr>
            <w:tcW w:type="dxa" w:w="438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统计周期内至少有1个有效在售商品的卖家</w:t>
            </w:r>
          </w:p>
        </w:tc>
        <w:tc>
          <w:tcPr>
            <w:tcW w:type="dxa" w:w="15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待平台核验</w:t>
            </w:r>
          </w:p>
        </w:tc>
        <w:tc>
          <w:tcPr>
            <w:tcW w:type="dxa" w:w="168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每月</w:t>
            </w:r>
          </w:p>
        </w:tc>
      </w:tr>
      <w:tr>
        <w:trPr>
          <w:cantSplit/>
        </w:trPr>
        <w:tc>
          <w:tcPr>
            <w:tcW w:type="dxa" w:w="180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9"/>
              </w:rPr>
              <w:t>有效商品</w:t>
            </w:r>
          </w:p>
        </w:tc>
        <w:tc>
          <w:tcPr>
            <w:tcW w:type="dxa" w:w="438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审核通过且可正常下单的商品数量</w:t>
            </w:r>
          </w:p>
        </w:tc>
        <w:tc>
          <w:tcPr>
            <w:tcW w:type="dxa" w:w="150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待平台核验</w:t>
            </w:r>
          </w:p>
        </w:tc>
        <w:tc>
          <w:tcPr>
            <w:tcW w:type="dxa" w:w="168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每日</w:t>
            </w:r>
          </w:p>
        </w:tc>
      </w:tr>
      <w:tr>
        <w:trPr>
          <w:cantSplit/>
        </w:trPr>
        <w:tc>
          <w:tcPr>
            <w:tcW w:type="dxa" w:w="18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9"/>
              </w:rPr>
              <w:t>有效订单</w:t>
            </w:r>
          </w:p>
        </w:tc>
        <w:tc>
          <w:tcPr>
            <w:tcW w:type="dxa" w:w="438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已付款且未取消、未退款的订单</w:t>
            </w:r>
          </w:p>
        </w:tc>
        <w:tc>
          <w:tcPr>
            <w:tcW w:type="dxa" w:w="15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待平台核验</w:t>
            </w:r>
          </w:p>
        </w:tc>
        <w:tc>
          <w:tcPr>
            <w:tcW w:type="dxa" w:w="168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每日</w:t>
            </w:r>
          </w:p>
        </w:tc>
      </w:tr>
      <w:tr>
        <w:trPr>
          <w:cantSplit/>
        </w:trPr>
        <w:tc>
          <w:tcPr>
            <w:tcW w:type="dxa" w:w="180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9"/>
              </w:rPr>
              <w:t>履约及时率</w:t>
            </w:r>
          </w:p>
        </w:tc>
        <w:tc>
          <w:tcPr>
            <w:tcW w:type="dxa" w:w="438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规定时限内完成采购、发货或状态推进的订单占比</w:t>
            </w:r>
          </w:p>
        </w:tc>
        <w:tc>
          <w:tcPr>
            <w:tcW w:type="dxa" w:w="150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待平台核验</w:t>
            </w:r>
          </w:p>
        </w:tc>
        <w:tc>
          <w:tcPr>
            <w:tcW w:type="dxa" w:w="168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每周</w:t>
            </w:r>
          </w:p>
        </w:tc>
      </w:tr>
      <w:tr>
        <w:trPr>
          <w:cantSplit/>
        </w:trPr>
        <w:tc>
          <w:tcPr>
            <w:tcW w:type="dxa" w:w="18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9"/>
              </w:rPr>
              <w:t>售后解决率</w:t>
            </w:r>
          </w:p>
        </w:tc>
        <w:tc>
          <w:tcPr>
            <w:tcW w:type="dxa" w:w="438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已关闭售后单占全部售后单的比例</w:t>
            </w:r>
          </w:p>
        </w:tc>
        <w:tc>
          <w:tcPr>
            <w:tcW w:type="dxa" w:w="15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待平台核验</w:t>
            </w:r>
          </w:p>
        </w:tc>
        <w:tc>
          <w:tcPr>
            <w:tcW w:type="dxa" w:w="168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每周</w:t>
            </w:r>
          </w:p>
        </w:tc>
      </w:tr>
      <w:tr>
        <w:trPr>
          <w:cantSplit/>
        </w:trPr>
        <w:tc>
          <w:tcPr>
            <w:tcW w:type="dxa" w:w="180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9"/>
              </w:rPr>
              <w:t>推销员有效产出</w:t>
            </w:r>
          </w:p>
        </w:tc>
        <w:tc>
          <w:tcPr>
            <w:tcW w:type="dxa" w:w="438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按有效订单和已确认佣金统计，不按下单请求数统计</w:t>
            </w:r>
          </w:p>
        </w:tc>
        <w:tc>
          <w:tcPr>
            <w:tcW w:type="dxa" w:w="150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待平台核验</w:t>
            </w:r>
          </w:p>
        </w:tc>
        <w:tc>
          <w:tcPr>
            <w:tcW w:type="dxa" w:w="168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每月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B18B4F"/>
                <w:sz w:val="20"/>
              </w:rPr>
              <w:t>展示规则</w:t>
            </w:r>
          </w:p>
          <w:p>
            <w:pPr>
              <w:spacing w:after="0" w:line="300" w:lineRule="auto"/>
            </w:pPr>
            <w:r>
              <w:rPr>
                <w:rFonts w:ascii="Calibri" w:hAnsi="Calibri" w:eastAsia="Microsoft YaHei"/>
                <w:color w:val="24221F"/>
                <w:sz w:val="21"/>
              </w:rPr>
              <w:t>所有截图应隐藏客户姓名、邮箱、地址、证件、Cookie、密钥和完整订单号。收益案例必须同时标注统计周期、退款口径、费用扣除和是否含税。</w:t>
            </w:r>
          </w:p>
        </w:tc>
      </w:tr>
    </w:tbl>
    <w:p>
      <w:pPr>
        <w:spacing w:after="40"/>
      </w:pPr>
    </w:p>
    <w:p>
      <w:pPr>
        <w:pStyle w:val="Heading2"/>
      </w:pPr>
      <w:r>
        <w:t>建议的数据看板结构</w:t>
      </w:r>
    </w:p>
    <w:p>
      <w:pPr>
        <w:pStyle w:val="ListBullet"/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增长：新增买家、活跃卖家、活跃推销员、有效商品。</w:t>
      </w:r>
    </w:p>
    <w:p>
      <w:pPr>
        <w:pStyle w:val="ListBullet"/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交易：有效订单、客单价、取消率、退款率、批量任务成功率。</w:t>
      </w:r>
    </w:p>
    <w:p>
      <w:pPr>
        <w:pStyle w:val="ListBullet"/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履约与资金：采购/发货及时率、签收率、已结算、待结算、提现处理中与异常账务。</w:t>
      </w:r>
    </w:p>
    <w:p>
      <w:pPr>
        <w:keepNext/>
        <w:pageBreakBefore/>
        <w:spacing w:before="0" w:after="0" w:line="20" w:lineRule="exact"/>
      </w:pPr>
      <w:r>
        <w:rPr>
          <w:rFonts w:ascii="Calibri" w:hAnsi="Calibri" w:eastAsia="Microsoft YaHei"/>
          <w:color w:val="FFFFFF"/>
          <w:sz w:val="2"/>
        </w:rPr>
        <w:t>​</w:t>
      </w:r>
    </w:p>
    <w:p>
      <w:pPr>
        <w:pStyle w:val="Heading1"/>
      </w:pPr>
      <w:r>
        <w:rPr>
          <w:rFonts w:ascii="Calibri" w:hAnsi="Calibri" w:eastAsia="Microsoft YaHei"/>
          <w:b/>
          <w:color w:val="8A6D42"/>
          <w:sz w:val="32"/>
        </w:rPr>
        <w:t>三  合作案例与验证方式</w:t>
      </w:r>
    </w:p>
    <w:p>
      <w:pPr>
        <w:spacing w:before="0" w:after="200"/>
      </w:pPr>
      <w:r>
        <w:rPr>
          <w:rFonts w:ascii="Calibri" w:hAnsi="Calibri" w:eastAsia="Microsoft YaHei"/>
          <w:i/>
          <w:color w:val="716D65"/>
          <w:sz w:val="20"/>
        </w:rPr>
        <w:t>不制造学员故事，用真实链路证明平台价值</w:t>
      </w:r>
    </w:p>
    <w:p>
      <w:pPr>
        <w:jc w:val="both"/>
      </w:pPr>
      <w:r>
        <w:rPr>
          <w:rFonts w:ascii="Calibri" w:hAnsi="Calibri" w:eastAsia="Microsoft YaHei"/>
          <w:color w:val="24221F"/>
          <w:sz w:val="22"/>
        </w:rPr>
        <w:t>合作案例应按“背景 - 行动 - 结果 - 证据 - 风险”五项记录。平台可以展示典型流程，但不得把单个案例包装成所有参与者都能复制的固定收益。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800"/>
        <w:gridCol w:w="4380"/>
        <w:gridCol w:w="3180"/>
      </w:tblGrid>
      <w:tr>
        <w:trPr>
          <w:tblHeader w:val="true"/>
          <w:cantSplit/>
        </w:trPr>
        <w:tc>
          <w:tcPr>
            <w:tcW w:type="dxa" w:w="18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24221F"/>
            <w:tcBorders>
              <w:top w:val="single" w:sz="8" w:space="0" w:color="24221F"/>
              <w:start w:val="single" w:sz="8" w:space="0" w:color="24221F"/>
              <w:bottom w:val="single" w:sz="8" w:space="0" w:color="24221F"/>
              <w:end w:val="single" w:sz="8" w:space="0" w:color="24221F"/>
              <w:insideH w:val="single" w:sz="8" w:space="0" w:color="24221F"/>
              <w:insideV w:val="single" w:sz="8" w:space="0" w:color="24221F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案例类型</w:t>
            </w:r>
          </w:p>
        </w:tc>
        <w:tc>
          <w:tcPr>
            <w:tcW w:type="dxa" w:w="43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24221F"/>
            <w:tcBorders>
              <w:top w:val="single" w:sz="8" w:space="0" w:color="24221F"/>
              <w:start w:val="single" w:sz="8" w:space="0" w:color="24221F"/>
              <w:bottom w:val="single" w:sz="8" w:space="0" w:color="24221F"/>
              <w:end w:val="single" w:sz="8" w:space="0" w:color="24221F"/>
              <w:insideH w:val="single" w:sz="8" w:space="0" w:color="24221F"/>
              <w:insideV w:val="single" w:sz="8" w:space="0" w:color="24221F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需要展示的证据</w:t>
            </w:r>
          </w:p>
        </w:tc>
        <w:tc>
          <w:tcPr>
            <w:tcW w:type="dxa" w:w="31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24221F"/>
            <w:tcBorders>
              <w:top w:val="single" w:sz="8" w:space="0" w:color="24221F"/>
              <w:start w:val="single" w:sz="8" w:space="0" w:color="24221F"/>
              <w:bottom w:val="single" w:sz="8" w:space="0" w:color="24221F"/>
              <w:end w:val="single" w:sz="8" w:space="0" w:color="24221F"/>
              <w:insideH w:val="single" w:sz="8" w:space="0" w:color="24221F"/>
              <w:insideV w:val="single" w:sz="8" w:space="0" w:color="24221F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不得展示的内容</w:t>
            </w:r>
          </w:p>
        </w:tc>
      </w:tr>
      <w:tr>
        <w:trPr>
          <w:cantSplit/>
        </w:trPr>
        <w:tc>
          <w:tcPr>
            <w:tcW w:type="dxa" w:w="18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9"/>
              </w:rPr>
              <w:t>推销员案例</w:t>
            </w:r>
          </w:p>
        </w:tc>
        <w:tc>
          <w:tcPr>
            <w:tcW w:type="dxa" w:w="438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有效订单、结算记录、退款扣回、统计周期</w:t>
            </w:r>
          </w:p>
        </w:tc>
        <w:tc>
          <w:tcPr>
            <w:tcW w:type="dxa" w:w="318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仅截取峰值收益或隐去退款</w:t>
            </w:r>
          </w:p>
        </w:tc>
      </w:tr>
      <w:tr>
        <w:trPr>
          <w:cantSplit/>
        </w:trPr>
        <w:tc>
          <w:tcPr>
            <w:tcW w:type="dxa" w:w="180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9"/>
              </w:rPr>
              <w:t>卖家案例</w:t>
            </w:r>
          </w:p>
        </w:tc>
        <w:tc>
          <w:tcPr>
            <w:tcW w:type="dxa" w:w="438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商品数、履约时效、售后率、实际结算</w:t>
            </w:r>
          </w:p>
        </w:tc>
        <w:tc>
          <w:tcPr>
            <w:tcW w:type="dxa" w:w="318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伪造销量或遮盖异常订单</w:t>
            </w:r>
          </w:p>
        </w:tc>
      </w:tr>
      <w:tr>
        <w:trPr>
          <w:cantSplit/>
        </w:trPr>
        <w:tc>
          <w:tcPr>
            <w:tcW w:type="dxa" w:w="18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9"/>
              </w:rPr>
              <w:t>团队案例</w:t>
            </w:r>
          </w:p>
        </w:tc>
        <w:tc>
          <w:tcPr>
            <w:tcW w:type="dxa" w:w="438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成员数量、权限分工、任务完成率、运营成本</w:t>
            </w:r>
          </w:p>
        </w:tc>
        <w:tc>
          <w:tcPr>
            <w:tcW w:type="dxa" w:w="318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把团队总额当作个人收入</w:t>
            </w:r>
          </w:p>
        </w:tc>
      </w:tr>
      <w:tr>
        <w:trPr>
          <w:cantSplit/>
        </w:trPr>
        <w:tc>
          <w:tcPr>
            <w:tcW w:type="dxa" w:w="180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9"/>
              </w:rPr>
              <w:t>平台能力</w:t>
            </w:r>
          </w:p>
        </w:tc>
        <w:tc>
          <w:tcPr>
            <w:tcW w:type="dxa" w:w="438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真实后台功能、审计记录、故障恢复与客服流程</w:t>
            </w:r>
          </w:p>
        </w:tc>
        <w:tc>
          <w:tcPr>
            <w:tcW w:type="dxa" w:w="318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用设计稿冒充已上线功能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B18B4F"/>
                <w:sz w:val="20"/>
              </w:rPr>
              <w:t>案例模板</w:t>
            </w:r>
          </w:p>
          <w:p>
            <w:pPr>
              <w:spacing w:after="0" w:line="300" w:lineRule="auto"/>
            </w:pPr>
            <w:r>
              <w:rPr>
                <w:rFonts w:ascii="Calibri" w:hAnsi="Calibri" w:eastAsia="Microsoft YaHei"/>
                <w:color w:val="24221F"/>
                <w:sz w:val="21"/>
              </w:rPr>
              <w:t>合作对象：__________  统计周期：__________  有效订单：__________  退款/取消：__________  已确认收入：__________  主要成本：__________  可核验证据：__________。</w:t>
            </w:r>
          </w:p>
        </w:tc>
      </w:tr>
    </w:tbl>
    <w:p>
      <w:pPr>
        <w:spacing w:after="40"/>
      </w:pPr>
    </w:p>
    <w:p>
      <w:pPr>
        <w:jc w:val="both"/>
      </w:pPr>
      <w:r>
        <w:rPr>
          <w:rFonts w:ascii="Calibri" w:hAnsi="Calibri" w:eastAsia="Microsoft YaHei"/>
          <w:color w:val="24221F"/>
          <w:sz w:val="22"/>
        </w:rPr>
        <w:t>在案例取得本人授权之前，统一使用匿名化名称；涉及证件、收款账户、客户地址或内部密钥的信息不得进入宣传资料。</w:t>
      </w:r>
    </w:p>
    <w:p>
      <w:pPr>
        <w:keepNext/>
        <w:pageBreakBefore/>
        <w:spacing w:before="0" w:after="0" w:line="20" w:lineRule="exact"/>
      </w:pPr>
      <w:r>
        <w:rPr>
          <w:rFonts w:ascii="Calibri" w:hAnsi="Calibri" w:eastAsia="Microsoft YaHei"/>
          <w:color w:val="FFFFFF"/>
          <w:sz w:val="2"/>
        </w:rPr>
        <w:t>​</w:t>
      </w:r>
    </w:p>
    <w:p>
      <w:pPr>
        <w:pStyle w:val="Heading1"/>
      </w:pPr>
      <w:r>
        <w:rPr>
          <w:rFonts w:ascii="Calibri" w:hAnsi="Calibri" w:eastAsia="Microsoft YaHei"/>
          <w:b/>
          <w:color w:val="8A6D42"/>
          <w:sz w:val="32"/>
        </w:rPr>
        <w:t>四  平台与运营体系</w:t>
      </w:r>
    </w:p>
    <w:p>
      <w:pPr>
        <w:spacing w:before="0" w:after="200"/>
      </w:pPr>
      <w:r>
        <w:rPr>
          <w:rFonts w:ascii="Calibri" w:hAnsi="Calibri" w:eastAsia="Microsoft YaHei"/>
          <w:i/>
          <w:color w:val="716D65"/>
          <w:sz w:val="20"/>
        </w:rPr>
        <w:t>四端角色隔离，同时完成一条订单链路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500"/>
        <w:gridCol w:w="4260"/>
        <w:gridCol w:w="3600"/>
      </w:tblGrid>
      <w:tr>
        <w:trPr>
          <w:tblHeader w:val="true"/>
          <w:cantSplit/>
        </w:trPr>
        <w:tc>
          <w:tcPr>
            <w:tcW w:type="dxa" w:w="15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24221F"/>
            <w:tcBorders>
              <w:top w:val="single" w:sz="8" w:space="0" w:color="24221F"/>
              <w:start w:val="single" w:sz="8" w:space="0" w:color="24221F"/>
              <w:bottom w:val="single" w:sz="8" w:space="0" w:color="24221F"/>
              <w:end w:val="single" w:sz="8" w:space="0" w:color="24221F"/>
              <w:insideH w:val="single" w:sz="8" w:space="0" w:color="24221F"/>
              <w:insideV w:val="single" w:sz="8" w:space="0" w:color="24221F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角色</w:t>
            </w:r>
          </w:p>
        </w:tc>
        <w:tc>
          <w:tcPr>
            <w:tcW w:type="dxa" w:w="42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24221F"/>
            <w:tcBorders>
              <w:top w:val="single" w:sz="8" w:space="0" w:color="24221F"/>
              <w:start w:val="single" w:sz="8" w:space="0" w:color="24221F"/>
              <w:bottom w:val="single" w:sz="8" w:space="0" w:color="24221F"/>
              <w:end w:val="single" w:sz="8" w:space="0" w:color="24221F"/>
              <w:insideH w:val="single" w:sz="8" w:space="0" w:color="24221F"/>
              <w:insideV w:val="single" w:sz="8" w:space="0" w:color="24221F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主要能力</w:t>
            </w:r>
          </w:p>
        </w:tc>
        <w:tc>
          <w:tcPr>
            <w:tcW w:type="dxa" w:w="36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24221F"/>
            <w:tcBorders>
              <w:top w:val="single" w:sz="8" w:space="0" w:color="24221F"/>
              <w:start w:val="single" w:sz="8" w:space="0" w:color="24221F"/>
              <w:bottom w:val="single" w:sz="8" w:space="0" w:color="24221F"/>
              <w:end w:val="single" w:sz="8" w:space="0" w:color="24221F"/>
              <w:insideH w:val="single" w:sz="8" w:space="0" w:color="24221F"/>
              <w:insideV w:val="single" w:sz="8" w:space="0" w:color="24221F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责任边界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9"/>
              </w:rPr>
              <w:t>买家</w:t>
            </w:r>
          </w:p>
        </w:tc>
        <w:tc>
          <w:tcPr>
            <w:tcW w:type="dxa" w:w="426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浏览商品、收藏、购物车、下单、订单查询、售后</w:t>
            </w:r>
          </w:p>
        </w:tc>
        <w:tc>
          <w:tcPr>
            <w:tcW w:type="dxa" w:w="36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提供真实资料，确认订单与售后信息</w:t>
            </w:r>
          </w:p>
        </w:tc>
      </w:tr>
      <w:tr>
        <w:trPr>
          <w:cantSplit/>
        </w:trPr>
        <w:tc>
          <w:tcPr>
            <w:tcW w:type="dxa" w:w="150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9"/>
              </w:rPr>
              <w:t>卖家</w:t>
            </w:r>
          </w:p>
        </w:tc>
        <w:tc>
          <w:tcPr>
            <w:tcW w:type="dxa" w:w="426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商品、库存、订单、采购、履约、结算、提现</w:t>
            </w:r>
          </w:p>
        </w:tc>
        <w:tc>
          <w:tcPr>
            <w:tcW w:type="dxa" w:w="360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商品真实性、价格、库存、发货和售后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9"/>
              </w:rPr>
              <w:t>推销员</w:t>
            </w:r>
          </w:p>
        </w:tc>
        <w:tc>
          <w:tcPr>
            <w:tcW w:type="dxa" w:w="426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分配卖家、推广选品、客户协助、定时任务、佣金账本</w:t>
            </w:r>
          </w:p>
        </w:tc>
        <w:tc>
          <w:tcPr>
            <w:tcW w:type="dxa" w:w="36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合规获客，不冒用客户、不承诺固定收益</w:t>
            </w:r>
          </w:p>
        </w:tc>
      </w:tr>
      <w:tr>
        <w:trPr>
          <w:cantSplit/>
        </w:trPr>
        <w:tc>
          <w:tcPr>
            <w:tcW w:type="dxa" w:w="150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9"/>
              </w:rPr>
              <w:t>平台管理员</w:t>
            </w:r>
          </w:p>
        </w:tc>
        <w:tc>
          <w:tcPr>
            <w:tcW w:type="dxa" w:w="426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账号权限、首页编排、订单治理、资金审核、内容与审计</w:t>
            </w:r>
          </w:p>
        </w:tc>
        <w:tc>
          <w:tcPr>
            <w:tcW w:type="dxa" w:w="360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规则执行、风险控制、异常处理与证据留存</w:t>
            </w:r>
          </w:p>
        </w:tc>
      </w:tr>
    </w:tbl>
    <w:p>
      <w:pPr>
        <w:spacing w:after="40"/>
      </w:pPr>
    </w:p>
    <w:p>
      <w:pPr>
        <w:pStyle w:val="Heading2"/>
      </w:pPr>
      <w:r>
        <w:t>平台工作流</w:t>
      </w:r>
    </w:p>
    <w:p>
      <w:pPr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1.  卖家提交商品与库存信息，平台完成必要审核并决定是否上架。</w:t>
      </w:r>
    </w:p>
    <w:p>
      <w:pPr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2.  推销员在授权范围内选择商品、关联卖家并开展推广或客户协助。</w:t>
      </w:r>
    </w:p>
    <w:p>
      <w:pPr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3.  买家通过商城完成下单；尚未执行的定时任务可由授权角色取消。</w:t>
      </w:r>
    </w:p>
    <w:p>
      <w:pPr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4.  订单进入采购、发货、物流、签收、售后与结算流程，状态变化保留记录。</w:t>
      </w:r>
    </w:p>
    <w:p>
      <w:pPr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5.  满足结算条件后生成卖家与推销员的相应账务；退款、取消或异常会按规则调整。</w:t>
      </w:r>
    </w:p>
    <w:p>
      <w:pPr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6.  平台管理员处理异常、提现、争议和审计，不通过删除记录掩盖已经发生的交易。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B18B4F"/>
                <w:sz w:val="20"/>
              </w:rPr>
              <w:t>关键原则</w:t>
            </w:r>
          </w:p>
          <w:p>
            <w:pPr>
              <w:spacing w:after="0" w:line="300" w:lineRule="auto"/>
            </w:pPr>
            <w:r>
              <w:rPr>
                <w:rFonts w:ascii="Calibri" w:hAnsi="Calibri" w:eastAsia="Microsoft YaHei"/>
                <w:color w:val="24221F"/>
                <w:sz w:val="21"/>
              </w:rPr>
              <w:t>卖家只看到已生成且属于自己的订单。取消未执行的定时任务不会生成订单，卖家因此不可见；管理员取消未提货订单时保留审计，并按规则控制卖家端状态。</w:t>
            </w:r>
          </w:p>
        </w:tc>
      </w:tr>
    </w:tbl>
    <w:p>
      <w:pPr>
        <w:spacing w:after="40"/>
      </w:pPr>
    </w:p>
    <w:p>
      <w:pPr>
        <w:keepNext/>
        <w:pageBreakBefore/>
        <w:spacing w:before="0" w:after="0" w:line="20" w:lineRule="exact"/>
      </w:pPr>
      <w:r>
        <w:rPr>
          <w:rFonts w:ascii="Calibri" w:hAnsi="Calibri" w:eastAsia="Microsoft YaHei"/>
          <w:color w:val="FFFFFF"/>
          <w:sz w:val="2"/>
        </w:rPr>
        <w:t>​</w:t>
      </w:r>
    </w:p>
    <w:p>
      <w:pPr>
        <w:pStyle w:val="Heading1"/>
      </w:pPr>
      <w:r>
        <w:rPr>
          <w:rFonts w:ascii="Calibri" w:hAnsi="Calibri" w:eastAsia="Microsoft YaHei"/>
          <w:b/>
          <w:color w:val="8A6D42"/>
          <w:sz w:val="32"/>
        </w:rPr>
        <w:t>五  项目运作原理</w:t>
      </w:r>
    </w:p>
    <w:p>
      <w:pPr>
        <w:spacing w:before="0" w:after="200"/>
      </w:pPr>
      <w:r>
        <w:rPr>
          <w:rFonts w:ascii="Calibri" w:hAnsi="Calibri" w:eastAsia="Microsoft YaHei"/>
          <w:i/>
          <w:color w:val="716D65"/>
          <w:sz w:val="20"/>
        </w:rPr>
        <w:t>用平台化流程减少重复劳动，而不是宣称完全无人值守</w:t>
      </w:r>
    </w:p>
    <w:p>
      <w:pPr>
        <w:jc w:val="both"/>
      </w:pPr>
      <w:r>
        <w:rPr>
          <w:rFonts w:ascii="Calibri" w:hAnsi="Calibri" w:eastAsia="Microsoft YaHei"/>
          <w:color w:val="24221F"/>
          <w:sz w:val="22"/>
        </w:rPr>
        <w:t>Fordeal 的运作原理可以概括为：统一商品库 + 多角色权限 + 可靠任务队列 + 订单状态机 + 资金与审计账本。</w:t>
      </w:r>
    </w:p>
    <w:p>
      <w:pPr>
        <w:pStyle w:val="Heading3"/>
      </w:pPr>
      <w:r>
        <w:rPr>
          <w:rFonts w:ascii="Calibri" w:hAnsi="Calibri" w:eastAsia="Microsoft YaHei"/>
          <w:b/>
          <w:color w:val="24221F"/>
          <w:sz w:val="24"/>
        </w:rPr>
        <w:t>统一商品与首页编排</w:t>
      </w:r>
    </w:p>
    <w:p>
      <w:pPr>
        <w:jc w:val="both"/>
      </w:pPr>
      <w:r>
        <w:rPr>
          <w:rFonts w:ascii="Calibri" w:hAnsi="Calibri" w:eastAsia="Microsoft YaHei"/>
          <w:color w:val="24221F"/>
          <w:sz w:val="22"/>
        </w:rPr>
        <w:t>平台管理员可管理首页内容与商品位置；卖家负责自己的商品和库存，避免多端信息冲突。</w:t>
      </w:r>
    </w:p>
    <w:p>
      <w:pPr>
        <w:pStyle w:val="Heading3"/>
      </w:pPr>
      <w:r>
        <w:rPr>
          <w:rFonts w:ascii="Calibri" w:hAnsi="Calibri" w:eastAsia="Microsoft YaHei"/>
          <w:b/>
          <w:color w:val="24221F"/>
          <w:sz w:val="24"/>
        </w:rPr>
        <w:t>授权推广</w:t>
      </w:r>
    </w:p>
    <w:p>
      <w:pPr>
        <w:jc w:val="both"/>
      </w:pPr>
      <w:r>
        <w:rPr>
          <w:rFonts w:ascii="Calibri" w:hAnsi="Calibri" w:eastAsia="Microsoft YaHei"/>
          <w:color w:val="24221F"/>
          <w:sz w:val="22"/>
        </w:rPr>
        <w:t>推销员只能在分配范围内选择卖家与商品，客户协助和定时下单保留身份、时间与操作记录。</w:t>
      </w:r>
    </w:p>
    <w:p>
      <w:pPr>
        <w:pStyle w:val="Heading3"/>
      </w:pPr>
      <w:r>
        <w:rPr>
          <w:rFonts w:ascii="Calibri" w:hAnsi="Calibri" w:eastAsia="Microsoft YaHei"/>
          <w:b/>
          <w:color w:val="24221F"/>
          <w:sz w:val="24"/>
        </w:rPr>
        <w:t>可靠后台任务</w:t>
      </w:r>
    </w:p>
    <w:p>
      <w:pPr>
        <w:jc w:val="both"/>
      </w:pPr>
      <w:r>
        <w:rPr>
          <w:rFonts w:ascii="Calibri" w:hAnsi="Calibri" w:eastAsia="Microsoft YaHei"/>
          <w:color w:val="24221F"/>
          <w:sz w:val="22"/>
        </w:rPr>
        <w:t>定时下单、物流结算和邮件通知在后台处理，失败可重试，避免用户关闭页面后任务停止。</w:t>
      </w:r>
    </w:p>
    <w:p>
      <w:pPr>
        <w:pStyle w:val="Heading3"/>
      </w:pPr>
      <w:r>
        <w:rPr>
          <w:rFonts w:ascii="Calibri" w:hAnsi="Calibri" w:eastAsia="Microsoft YaHei"/>
          <w:b/>
          <w:color w:val="24221F"/>
          <w:sz w:val="24"/>
        </w:rPr>
        <w:t>订单与库存一致性</w:t>
      </w:r>
    </w:p>
    <w:p>
      <w:pPr>
        <w:jc w:val="both"/>
      </w:pPr>
      <w:r>
        <w:rPr>
          <w:rFonts w:ascii="Calibri" w:hAnsi="Calibri" w:eastAsia="Microsoft YaHei"/>
          <w:color w:val="24221F"/>
          <w:sz w:val="22"/>
        </w:rPr>
        <w:t>扣款、库存预留、订单创建和关键账务使用原子流程，降低重复扣款和重复订单风险。</w:t>
      </w:r>
    </w:p>
    <w:p>
      <w:pPr>
        <w:pStyle w:val="Heading3"/>
      </w:pPr>
      <w:r>
        <w:rPr>
          <w:rFonts w:ascii="Calibri" w:hAnsi="Calibri" w:eastAsia="Microsoft YaHei"/>
          <w:b/>
          <w:color w:val="24221F"/>
          <w:sz w:val="24"/>
        </w:rPr>
        <w:t>物流与结算闭环</w:t>
      </w:r>
    </w:p>
    <w:p>
      <w:pPr>
        <w:jc w:val="both"/>
      </w:pPr>
      <w:r>
        <w:rPr>
          <w:rFonts w:ascii="Calibri" w:hAnsi="Calibri" w:eastAsia="Microsoft YaHei"/>
          <w:color w:val="24221F"/>
          <w:sz w:val="22"/>
        </w:rPr>
        <w:t>订单按采购、发货、运输、签收、售后与结算状态推进；退款或售后期间暂停不应发生的结算。</w:t>
      </w:r>
    </w:p>
    <w:p>
      <w:pPr>
        <w:pStyle w:val="Heading3"/>
      </w:pPr>
      <w:r>
        <w:rPr>
          <w:rFonts w:ascii="Calibri" w:hAnsi="Calibri" w:eastAsia="Microsoft YaHei"/>
          <w:b/>
          <w:color w:val="24221F"/>
          <w:sz w:val="24"/>
        </w:rPr>
        <w:t>安全与审计</w:t>
      </w:r>
    </w:p>
    <w:p>
      <w:pPr>
        <w:jc w:val="both"/>
      </w:pPr>
      <w:r>
        <w:rPr>
          <w:rFonts w:ascii="Calibri" w:hAnsi="Calibri" w:eastAsia="Microsoft YaHei"/>
          <w:color w:val="24221F"/>
          <w:sz w:val="22"/>
        </w:rPr>
        <w:t>登录、MFA、权限、资金审核、提现和管理员操作均保留可追踪记录，敏感数据按权限访问。</w:t>
      </w:r>
    </w:p>
    <w:p>
      <w:pPr>
        <w:keepNext/>
        <w:pageBreakBefore/>
        <w:spacing w:before="0" w:after="0" w:line="20" w:lineRule="exact"/>
      </w:pPr>
      <w:r>
        <w:rPr>
          <w:rFonts w:ascii="Calibri" w:hAnsi="Calibri" w:eastAsia="Microsoft YaHei"/>
          <w:color w:val="FFFFFF"/>
          <w:sz w:val="2"/>
        </w:rPr>
        <w:t>​</w:t>
      </w:r>
    </w:p>
    <w:p>
      <w:pPr>
        <w:pStyle w:val="Heading1"/>
      </w:pPr>
      <w:r>
        <w:rPr>
          <w:rFonts w:ascii="Calibri" w:hAnsi="Calibri" w:eastAsia="Microsoft YaHei"/>
          <w:b/>
          <w:color w:val="8A6D42"/>
          <w:sz w:val="32"/>
        </w:rPr>
        <w:t>六  项目优势</w:t>
      </w:r>
    </w:p>
    <w:p>
      <w:pPr>
        <w:spacing w:before="0" w:after="200"/>
      </w:pPr>
      <w:r>
        <w:rPr>
          <w:rFonts w:ascii="Calibri" w:hAnsi="Calibri" w:eastAsia="Microsoft YaHei"/>
          <w:i/>
          <w:color w:val="716D65"/>
          <w:sz w:val="20"/>
        </w:rPr>
        <w:t>围绕效率、控制力、透明度和可扩展性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680"/>
        <w:gridCol w:w="4680"/>
      </w:tblGrid>
      <w:tr>
        <w:trPr>
          <w:tblHeader w:val="true"/>
          <w:cantSplit/>
        </w:trPr>
        <w:tc>
          <w:tcPr>
            <w:tcW w:type="dxa" w:w="4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24221F"/>
            <w:tcBorders>
              <w:top w:val="single" w:sz="8" w:space="0" w:color="24221F"/>
              <w:start w:val="single" w:sz="8" w:space="0" w:color="24221F"/>
              <w:bottom w:val="single" w:sz="8" w:space="0" w:color="24221F"/>
              <w:end w:val="single" w:sz="8" w:space="0" w:color="24221F"/>
              <w:insideH w:val="single" w:sz="8" w:space="0" w:color="24221F"/>
              <w:insideV w:val="single" w:sz="8" w:space="0" w:color="24221F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平台能力</w:t>
            </w:r>
          </w:p>
        </w:tc>
        <w:tc>
          <w:tcPr>
            <w:tcW w:type="dxa" w:w="468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24221F"/>
            <w:tcBorders>
              <w:top w:val="single" w:sz="8" w:space="0" w:color="24221F"/>
              <w:start w:val="single" w:sz="8" w:space="0" w:color="24221F"/>
              <w:bottom w:val="single" w:sz="8" w:space="0" w:color="24221F"/>
              <w:end w:val="single" w:sz="8" w:space="0" w:color="24221F"/>
              <w:insideH w:val="single" w:sz="8" w:space="0" w:color="24221F"/>
              <w:insideV w:val="single" w:sz="8" w:space="0" w:color="24221F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运营价值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20"/>
              </w:rPr>
              <w:t>角色清晰</w:t>
              <w:br/>
              <w:t>买家、卖家、推销员和管理员拥有独立入口与权限边界。</w:t>
            </w:r>
          </w:p>
        </w:tc>
        <w:tc>
          <w:tcPr>
            <w:tcW w:type="dxa" w:w="468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20"/>
              </w:rPr>
              <w:t>任务可追踪</w:t>
              <w:br/>
              <w:t>批量和定时任务都有处理状态，可取消、重试、核对异常。</w:t>
            </w:r>
          </w:p>
        </w:tc>
      </w:tr>
      <w:tr>
        <w:trPr>
          <w:cantSplit/>
        </w:trPr>
        <w:tc>
          <w:tcPr>
            <w:tcW w:type="dxa" w:w="468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20"/>
              </w:rPr>
              <w:t>订单可审计</w:t>
              <w:br/>
              <w:t>订单、库存、资金、提现和管理员操作保留可追溯记录。</w:t>
            </w:r>
          </w:p>
        </w:tc>
        <w:tc>
          <w:tcPr>
            <w:tcW w:type="dxa" w:w="468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20"/>
              </w:rPr>
              <w:t>营销可配置</w:t>
              <w:br/>
              <w:t>商城首页内容、商品编排、推广关联和邮件通知可由平台统一管理。</w:t>
            </w:r>
          </w:p>
        </w:tc>
      </w:tr>
      <w:tr>
        <w:trPr>
          <w:cantSplit/>
        </w:trPr>
        <w:tc>
          <w:tcPr>
            <w:tcW w:type="dxa" w:w="468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20"/>
              </w:rPr>
              <w:t>履约可持续</w:t>
              <w:br/>
              <w:t>采购、物流、签收和结算由后台任务持续推进，不依赖某个页面一直打开。</w:t>
            </w:r>
          </w:p>
        </w:tc>
        <w:tc>
          <w:tcPr>
            <w:tcW w:type="dxa" w:w="468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20"/>
              </w:rPr>
              <w:t>风险可隔离</w:t>
              <w:br/>
              <w:t>异常订单、售后、退款和资金操作采用状态与权限控制，避免相互污染。</w:t>
            </w:r>
          </w:p>
        </w:tc>
      </w:tr>
    </w:tbl>
    <w:p>
      <w:pPr>
        <w:spacing w:after="40"/>
      </w:pPr>
    </w:p>
    <w:p>
      <w:pPr>
        <w:pStyle w:val="Heading2"/>
      </w:pPr>
      <w:r>
        <w:t>合作方常见问题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700"/>
        <w:gridCol w:w="6660"/>
      </w:tblGrid>
      <w:tr>
        <w:trPr>
          <w:tblHeader w:val="true"/>
          <w:cantSplit/>
        </w:trPr>
        <w:tc>
          <w:tcPr>
            <w:tcW w:type="dxa" w:w="2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24221F"/>
            <w:tcBorders>
              <w:top w:val="single" w:sz="8" w:space="0" w:color="24221F"/>
              <w:start w:val="single" w:sz="8" w:space="0" w:color="24221F"/>
              <w:bottom w:val="single" w:sz="8" w:space="0" w:color="24221F"/>
              <w:end w:val="single" w:sz="8" w:space="0" w:color="24221F"/>
              <w:insideH w:val="single" w:sz="8" w:space="0" w:color="24221F"/>
              <w:insideV w:val="single" w:sz="8" w:space="0" w:color="24221F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问题</w:t>
            </w:r>
          </w:p>
        </w:tc>
        <w:tc>
          <w:tcPr>
            <w:tcW w:type="dxa" w:w="66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24221F"/>
            <w:tcBorders>
              <w:top w:val="single" w:sz="8" w:space="0" w:color="24221F"/>
              <w:start w:val="single" w:sz="8" w:space="0" w:color="24221F"/>
              <w:bottom w:val="single" w:sz="8" w:space="0" w:color="24221F"/>
              <w:end w:val="single" w:sz="8" w:space="0" w:color="24221F"/>
              <w:insideH w:val="single" w:sz="8" w:space="0" w:color="24221F"/>
              <w:insideV w:val="single" w:sz="8" w:space="0" w:color="24221F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rPr>
          <w:cantSplit/>
        </w:trPr>
        <w:tc>
          <w:tcPr>
            <w:tcW w:type="dxa" w:w="27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8"/>
              </w:rPr>
              <w:t>多久能开始？</w:t>
            </w:r>
          </w:p>
        </w:tc>
        <w:tc>
          <w:tcPr>
            <w:tcW w:type="dxa" w:w="666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8"/>
              </w:rPr>
              <w:t>完成开户、角色分配、规则学习和测试订单后即可开始。</w:t>
            </w:r>
          </w:p>
        </w:tc>
      </w:tr>
      <w:tr>
        <w:trPr>
          <w:cantSplit/>
        </w:trPr>
        <w:tc>
          <w:tcPr>
            <w:tcW w:type="dxa" w:w="270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8"/>
              </w:rPr>
              <w:t>每天需要多久？</w:t>
            </w:r>
          </w:p>
        </w:tc>
        <w:tc>
          <w:tcPr>
            <w:tcW w:type="dxa" w:w="666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8"/>
              </w:rPr>
              <w:t>随业务量而定；仍需检查异常、客户授权与履约状态。</w:t>
            </w:r>
          </w:p>
        </w:tc>
      </w:tr>
      <w:tr>
        <w:trPr>
          <w:cantSplit/>
        </w:trPr>
        <w:tc>
          <w:tcPr>
            <w:tcW w:type="dxa" w:w="27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8"/>
              </w:rPr>
              <w:t>一个人能管理多少？</w:t>
            </w:r>
          </w:p>
        </w:tc>
        <w:tc>
          <w:tcPr>
            <w:tcW w:type="dxa" w:w="666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8"/>
              </w:rPr>
              <w:t>依据并发、网络、熟练度和风险承受力逐步增加。</w:t>
            </w:r>
          </w:p>
        </w:tc>
      </w:tr>
      <w:tr>
        <w:trPr>
          <w:cantSplit/>
        </w:trPr>
        <w:tc>
          <w:tcPr>
            <w:tcW w:type="dxa" w:w="270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8"/>
              </w:rPr>
              <w:t>是否保证收入？</w:t>
            </w:r>
          </w:p>
        </w:tc>
        <w:tc>
          <w:tcPr>
            <w:tcW w:type="dxa" w:w="666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8"/>
              </w:rPr>
              <w:t>不保证；以有效订单、退款扣回和最终结算为准。</w:t>
            </w:r>
          </w:p>
        </w:tc>
      </w:tr>
    </w:tbl>
    <w:p>
      <w:pPr>
        <w:spacing w:after="40"/>
      </w:pPr>
    </w:p>
    <w:p>
      <w:pPr>
        <w:keepNext/>
        <w:pageBreakBefore/>
        <w:spacing w:before="0" w:after="0" w:line="20" w:lineRule="exact"/>
      </w:pPr>
      <w:r>
        <w:rPr>
          <w:rFonts w:ascii="Calibri" w:hAnsi="Calibri" w:eastAsia="Microsoft YaHei"/>
          <w:color w:val="FFFFFF"/>
          <w:sz w:val="2"/>
        </w:rPr>
        <w:t>​</w:t>
      </w:r>
    </w:p>
    <w:p>
      <w:pPr>
        <w:pStyle w:val="Heading1"/>
      </w:pPr>
      <w:r>
        <w:rPr>
          <w:rFonts w:ascii="Calibri" w:hAnsi="Calibri" w:eastAsia="Microsoft YaHei"/>
          <w:b/>
          <w:color w:val="8A6D42"/>
          <w:sz w:val="32"/>
        </w:rPr>
        <w:t>七  参与条件与设备要求</w:t>
      </w:r>
    </w:p>
    <w:p>
      <w:pPr>
        <w:spacing w:before="0" w:after="200"/>
      </w:pPr>
      <w:r>
        <w:rPr>
          <w:rFonts w:ascii="Calibri" w:hAnsi="Calibri" w:eastAsia="Microsoft YaHei"/>
          <w:i/>
          <w:color w:val="716D65"/>
          <w:sz w:val="20"/>
        </w:rPr>
        <w:t>先保证账号、安全、网络和基础运营能力</w:t>
      </w:r>
    </w:p>
    <w:p>
      <w:pPr>
        <w:pStyle w:val="Heading2"/>
      </w:pPr>
      <w:r>
        <w:t>基础设备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500"/>
        <w:gridCol w:w="3000"/>
        <w:gridCol w:w="4860"/>
      </w:tblGrid>
      <w:tr>
        <w:trPr>
          <w:tblHeader w:val="true"/>
          <w:cantSplit/>
        </w:trPr>
        <w:tc>
          <w:tcPr>
            <w:tcW w:type="dxa" w:w="15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24221F"/>
            <w:tcBorders>
              <w:top w:val="single" w:sz="8" w:space="0" w:color="24221F"/>
              <w:start w:val="single" w:sz="8" w:space="0" w:color="24221F"/>
              <w:bottom w:val="single" w:sz="8" w:space="0" w:color="24221F"/>
              <w:end w:val="single" w:sz="8" w:space="0" w:color="24221F"/>
              <w:insideH w:val="single" w:sz="8" w:space="0" w:color="24221F"/>
              <w:insideV w:val="single" w:sz="8" w:space="0" w:color="24221F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项目</w:t>
            </w:r>
          </w:p>
        </w:tc>
        <w:tc>
          <w:tcPr>
            <w:tcW w:type="dxa" w:w="30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24221F"/>
            <w:tcBorders>
              <w:top w:val="single" w:sz="8" w:space="0" w:color="24221F"/>
              <w:start w:val="single" w:sz="8" w:space="0" w:color="24221F"/>
              <w:bottom w:val="single" w:sz="8" w:space="0" w:color="24221F"/>
              <w:end w:val="single" w:sz="8" w:space="0" w:color="24221F"/>
              <w:insideH w:val="single" w:sz="8" w:space="0" w:color="24221F"/>
              <w:insideV w:val="single" w:sz="8" w:space="0" w:color="24221F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建议配置</w:t>
            </w:r>
          </w:p>
        </w:tc>
        <w:tc>
          <w:tcPr>
            <w:tcW w:type="dxa" w:w="48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24221F"/>
            <w:tcBorders>
              <w:top w:val="single" w:sz="8" w:space="0" w:color="24221F"/>
              <w:start w:val="single" w:sz="8" w:space="0" w:color="24221F"/>
              <w:bottom w:val="single" w:sz="8" w:space="0" w:color="24221F"/>
              <w:end w:val="single" w:sz="8" w:space="0" w:color="24221F"/>
              <w:insideH w:val="single" w:sz="8" w:space="0" w:color="24221F"/>
              <w:insideV w:val="single" w:sz="8" w:space="0" w:color="24221F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9"/>
              </w:rPr>
              <w:t>电脑</w:t>
            </w:r>
          </w:p>
        </w:tc>
        <w:tc>
          <w:tcPr>
            <w:tcW w:type="dxa" w:w="30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近5年主流 Windows 或 macOS 电脑</w:t>
            </w:r>
          </w:p>
        </w:tc>
        <w:tc>
          <w:tcPr>
            <w:tcW w:type="dxa" w:w="486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浏览器能稳定运行即可；无需高端独立显卡</w:t>
            </w:r>
          </w:p>
        </w:tc>
      </w:tr>
      <w:tr>
        <w:trPr>
          <w:cantSplit/>
        </w:trPr>
        <w:tc>
          <w:tcPr>
            <w:tcW w:type="dxa" w:w="150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9"/>
              </w:rPr>
              <w:t>内存</w:t>
            </w:r>
          </w:p>
        </w:tc>
        <w:tc>
          <w:tcPr>
            <w:tcW w:type="dxa" w:w="300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建议 8GB 以上，16GB 更佳</w:t>
            </w:r>
          </w:p>
        </w:tc>
        <w:tc>
          <w:tcPr>
            <w:tcW w:type="dxa" w:w="486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同时打开多个管理页面时更稳定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9"/>
              </w:rPr>
              <w:t>存储</w:t>
            </w:r>
          </w:p>
        </w:tc>
        <w:tc>
          <w:tcPr>
            <w:tcW w:type="dxa" w:w="30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建议保留 20GB 以上可用空间</w:t>
            </w:r>
          </w:p>
        </w:tc>
        <w:tc>
          <w:tcPr>
            <w:tcW w:type="dxa" w:w="486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用于浏览器缓存、图片与工作文件</w:t>
            </w:r>
          </w:p>
        </w:tc>
      </w:tr>
      <w:tr>
        <w:trPr>
          <w:cantSplit/>
        </w:trPr>
        <w:tc>
          <w:tcPr>
            <w:tcW w:type="dxa" w:w="150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9"/>
              </w:rPr>
              <w:t>手机</w:t>
            </w:r>
          </w:p>
        </w:tc>
        <w:tc>
          <w:tcPr>
            <w:tcW w:type="dxa" w:w="300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可正常接收邮箱/MFA验证</w:t>
            </w:r>
          </w:p>
        </w:tc>
        <w:tc>
          <w:tcPr>
            <w:tcW w:type="dxa" w:w="486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建议同时准备备用验证方式和恢复信息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9"/>
              </w:rPr>
              <w:t>网络</w:t>
            </w:r>
          </w:p>
        </w:tc>
        <w:tc>
          <w:tcPr>
            <w:tcW w:type="dxa" w:w="30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稳定有线或可靠 Wi-Fi</w:t>
            </w:r>
          </w:p>
        </w:tc>
        <w:tc>
          <w:tcPr>
            <w:tcW w:type="dxa" w:w="486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上传图片与视频时需要更高上行带宽</w:t>
            </w:r>
          </w:p>
        </w:tc>
      </w:tr>
    </w:tbl>
    <w:p>
      <w:pPr>
        <w:spacing w:after="40"/>
      </w:pPr>
    </w:p>
    <w:p>
      <w:pPr>
        <w:pStyle w:val="Heading2"/>
      </w:pPr>
      <w:r>
        <w:t>参与前检查</w:t>
      </w:r>
    </w:p>
    <w:p>
      <w:pPr>
        <w:pStyle w:val="ListBullet"/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使用本人或依法授权的企业资料完成注册和身份核验。</w:t>
      </w:r>
    </w:p>
    <w:p>
      <w:pPr>
        <w:pStyle w:val="ListBullet"/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设置独立强密码，启用验证器或邮箱验证，并妥善保存恢复方式。</w:t>
      </w:r>
    </w:p>
    <w:p>
      <w:pPr>
        <w:pStyle w:val="ListBullet"/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明确自己属于买家、卖家、推销员、团队管理员或平台管理员。</w:t>
      </w:r>
    </w:p>
    <w:p>
      <w:pPr>
        <w:pStyle w:val="ListBullet"/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阅读商品、订单、售后、佣金、提现、隐私与数据使用规则。</w:t>
      </w:r>
    </w:p>
    <w:p>
      <w:pPr>
        <w:pStyle w:val="ListBullet"/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先完成测试订单和取消/退款演练，再逐步增加真实业务量。</w:t>
      </w:r>
    </w:p>
    <w:p>
      <w:pPr>
        <w:pStyle w:val="ListBullet"/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不得共用超级管理员账号，不得通过聊天发送密码、密钥或完整证件。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FF5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A23B3B"/>
                <w:sz w:val="20"/>
              </w:rPr>
              <w:t>重要安全要求</w:t>
            </w:r>
          </w:p>
          <w:p>
            <w:pPr>
              <w:spacing w:after="0" w:line="300" w:lineRule="auto"/>
            </w:pPr>
            <w:r>
              <w:rPr>
                <w:rFonts w:ascii="Calibri" w:hAnsi="Calibri" w:eastAsia="Microsoft YaHei"/>
                <w:color w:val="24221F"/>
                <w:sz w:val="21"/>
              </w:rPr>
              <w:t>平台超级管理员应使用独立账号、强制 MFA、最小权限运维和可撤销的恢复流程。任何一次性恢复或改名入口使用后都必须自动失效并从线上移除。</w:t>
            </w:r>
          </w:p>
        </w:tc>
      </w:tr>
    </w:tbl>
    <w:p>
      <w:pPr>
        <w:spacing w:after="40"/>
      </w:pPr>
    </w:p>
    <w:p>
      <w:pPr>
        <w:keepNext/>
        <w:pageBreakBefore/>
        <w:spacing w:before="0" w:after="0" w:line="20" w:lineRule="exact"/>
      </w:pPr>
      <w:r>
        <w:rPr>
          <w:rFonts w:ascii="Calibri" w:hAnsi="Calibri" w:eastAsia="Microsoft YaHei"/>
          <w:color w:val="FFFFFF"/>
          <w:sz w:val="2"/>
        </w:rPr>
        <w:t>​</w:t>
      </w:r>
    </w:p>
    <w:p>
      <w:pPr>
        <w:pStyle w:val="Heading1"/>
      </w:pPr>
      <w:r>
        <w:rPr>
          <w:rFonts w:ascii="Calibri" w:hAnsi="Calibri" w:eastAsia="Microsoft YaHei"/>
          <w:b/>
          <w:color w:val="8A6D42"/>
          <w:sz w:val="32"/>
        </w:rPr>
        <w:t>八  收益测算模型</w:t>
      </w:r>
    </w:p>
    <w:p>
      <w:pPr>
        <w:spacing w:before="0" w:after="200"/>
      </w:pPr>
      <w:r>
        <w:rPr>
          <w:rFonts w:ascii="Calibri" w:hAnsi="Calibri" w:eastAsia="Microsoft YaHei"/>
          <w:i/>
          <w:color w:val="716D65"/>
          <w:sz w:val="20"/>
        </w:rPr>
        <w:t>收益来自有效交易，不来自任务数量或页面展示数字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B18B4F"/>
                <w:sz w:val="20"/>
              </w:rPr>
              <w:t>统一公式</w:t>
            </w:r>
          </w:p>
          <w:p>
            <w:pPr>
              <w:spacing w:after="0" w:line="300" w:lineRule="auto"/>
            </w:pPr>
            <w:r>
              <w:rPr>
                <w:rFonts w:ascii="Calibri" w:hAnsi="Calibri" w:eastAsia="Microsoft YaHei"/>
                <w:color w:val="24221F"/>
                <w:sz w:val="21"/>
              </w:rPr>
              <w:t>推销员可确认收入 = 有效订单佣金 + 已确认奖励 - 退款/取消扣回 - 税费与依法约定的其他费用。卖家可确认利润 = 已结算销售收入 - 采购成本 - 物流与售后成本 - 平台费用 - 税费。</w:t>
            </w:r>
          </w:p>
        </w:tc>
      </w:tr>
    </w:tbl>
    <w:p>
      <w:pPr>
        <w:spacing w:after="40"/>
      </w:pPr>
    </w:p>
    <w:p>
      <w:pPr>
        <w:jc w:val="both"/>
      </w:pPr>
      <w:r>
        <w:rPr>
          <w:rFonts w:ascii="Calibri" w:hAnsi="Calibri" w:eastAsia="Microsoft YaHei"/>
          <w:color w:val="24221F"/>
          <w:sz w:val="22"/>
        </w:rPr>
        <w:t>以下表格用于合作前测算；所有费率、成本和结算周期以后台配置及正式合同为准。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200"/>
        <w:gridCol w:w="2200"/>
        <w:gridCol w:w="4960"/>
      </w:tblGrid>
      <w:tr>
        <w:trPr>
          <w:tblHeader w:val="true"/>
          <w:cantSplit/>
        </w:trPr>
        <w:tc>
          <w:tcPr>
            <w:tcW w:type="dxa" w:w="22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24221F"/>
            <w:tcBorders>
              <w:top w:val="single" w:sz="8" w:space="0" w:color="24221F"/>
              <w:start w:val="single" w:sz="8" w:space="0" w:color="24221F"/>
              <w:bottom w:val="single" w:sz="8" w:space="0" w:color="24221F"/>
              <w:end w:val="single" w:sz="8" w:space="0" w:color="24221F"/>
              <w:insideH w:val="single" w:sz="8" w:space="0" w:color="24221F"/>
              <w:insideV w:val="single" w:sz="8" w:space="0" w:color="24221F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测算项</w:t>
            </w:r>
          </w:p>
        </w:tc>
        <w:tc>
          <w:tcPr>
            <w:tcW w:type="dxa" w:w="22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24221F"/>
            <w:tcBorders>
              <w:top w:val="single" w:sz="8" w:space="0" w:color="24221F"/>
              <w:start w:val="single" w:sz="8" w:space="0" w:color="24221F"/>
              <w:bottom w:val="single" w:sz="8" w:space="0" w:color="24221F"/>
              <w:end w:val="single" w:sz="8" w:space="0" w:color="24221F"/>
              <w:insideH w:val="single" w:sz="8" w:space="0" w:color="24221F"/>
              <w:insideV w:val="single" w:sz="8" w:space="0" w:color="24221F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填写值</w:t>
            </w:r>
          </w:p>
        </w:tc>
        <w:tc>
          <w:tcPr>
            <w:tcW w:type="dxa" w:w="49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24221F"/>
            <w:tcBorders>
              <w:top w:val="single" w:sz="8" w:space="0" w:color="24221F"/>
              <w:start w:val="single" w:sz="8" w:space="0" w:color="24221F"/>
              <w:bottom w:val="single" w:sz="8" w:space="0" w:color="24221F"/>
              <w:end w:val="single" w:sz="8" w:space="0" w:color="24221F"/>
              <w:insideH w:val="single" w:sz="8" w:space="0" w:color="24221F"/>
              <w:insideV w:val="single" w:sz="8" w:space="0" w:color="24221F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计算说明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9"/>
              </w:rPr>
              <w:t>月有效订单数</w:t>
            </w:r>
          </w:p>
        </w:tc>
        <w:tc>
          <w:tcPr>
            <w:tcW w:type="dxa" w:w="22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__________</w:t>
            </w:r>
          </w:p>
        </w:tc>
        <w:tc>
          <w:tcPr>
            <w:tcW w:type="dxa" w:w="496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只统计已付款且未取消、未退款的订单</w:t>
            </w:r>
          </w:p>
        </w:tc>
      </w:tr>
      <w:tr>
        <w:trPr>
          <w:cantSplit/>
        </w:trPr>
        <w:tc>
          <w:tcPr>
            <w:tcW w:type="dxa" w:w="220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9"/>
              </w:rPr>
              <w:t>平均有效佣金/单</w:t>
            </w:r>
          </w:p>
        </w:tc>
        <w:tc>
          <w:tcPr>
            <w:tcW w:type="dxa" w:w="220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$ __________</w:t>
            </w:r>
          </w:p>
        </w:tc>
        <w:tc>
          <w:tcPr>
            <w:tcW w:type="dxa" w:w="496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以订单最终确认佣金为准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9"/>
              </w:rPr>
              <w:t>退款/取消扣回</w:t>
            </w:r>
          </w:p>
        </w:tc>
        <w:tc>
          <w:tcPr>
            <w:tcW w:type="dxa" w:w="22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$ __________</w:t>
            </w:r>
          </w:p>
        </w:tc>
        <w:tc>
          <w:tcPr>
            <w:tcW w:type="dxa" w:w="496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按实际发生额计算</w:t>
            </w:r>
          </w:p>
        </w:tc>
      </w:tr>
      <w:tr>
        <w:trPr>
          <w:cantSplit/>
        </w:trPr>
        <w:tc>
          <w:tcPr>
            <w:tcW w:type="dxa" w:w="220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9"/>
              </w:rPr>
              <w:t>运营、税费等成本</w:t>
            </w:r>
          </w:p>
        </w:tc>
        <w:tc>
          <w:tcPr>
            <w:tcW w:type="dxa" w:w="220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$ __________</w:t>
            </w:r>
          </w:p>
        </w:tc>
        <w:tc>
          <w:tcPr>
            <w:tcW w:type="dxa" w:w="496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包括内容、通信、人员、税费与合规成本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9"/>
              </w:rPr>
              <w:t>预计可确认收入</w:t>
            </w:r>
          </w:p>
        </w:tc>
        <w:tc>
          <w:tcPr>
            <w:tcW w:type="dxa" w:w="22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$ __________</w:t>
            </w:r>
          </w:p>
        </w:tc>
        <w:tc>
          <w:tcPr>
            <w:tcW w:type="dxa" w:w="496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有效佣金合计减去全部扣减项</w:t>
            </w:r>
          </w:p>
        </w:tc>
      </w:tr>
    </w:tbl>
    <w:p>
      <w:pPr>
        <w:spacing w:after="40"/>
      </w:pPr>
    </w:p>
    <w:p>
      <w:pPr>
        <w:pStyle w:val="Heading2"/>
      </w:pPr>
      <w:r>
        <w:t>情景分析建议</w:t>
      </w:r>
    </w:p>
    <w:p>
      <w:pPr>
        <w:pStyle w:val="ListBullet"/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谨慎情景：按历史低位或测试期订单，并采用较高退款/取消比例。</w:t>
      </w:r>
    </w:p>
    <w:p>
      <w:pPr>
        <w:pStyle w:val="ListBullet"/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基准情景：按最近 3 个月有效均值与真实退款比例安排日常预算。</w:t>
      </w:r>
    </w:p>
    <w:p>
      <w:pPr>
        <w:pStyle w:val="ListBullet"/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增长情景：只在有证据的增长计划下提高投入，不假设风险自然下降。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FF5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A23B3B"/>
                <w:sz w:val="20"/>
              </w:rPr>
              <w:t>风险提示</w:t>
            </w:r>
          </w:p>
          <w:p>
            <w:pPr>
              <w:spacing w:after="0" w:line="300" w:lineRule="auto"/>
            </w:pPr>
            <w:r>
              <w:rPr>
                <w:rFonts w:ascii="Calibri" w:hAnsi="Calibri" w:eastAsia="Microsoft YaHei"/>
                <w:color w:val="24221F"/>
                <w:sz w:val="21"/>
              </w:rPr>
              <w:t>流量、库存、物流、退款、规则、税务和网络均会影响收益；任何费用均不代表必然获利。</w:t>
            </w:r>
          </w:p>
        </w:tc>
      </w:tr>
    </w:tbl>
    <w:p>
      <w:pPr>
        <w:spacing w:after="40"/>
      </w:pPr>
    </w:p>
    <w:p>
      <w:pPr>
        <w:keepNext/>
        <w:pageBreakBefore/>
        <w:spacing w:before="0" w:after="0" w:line="20" w:lineRule="exact"/>
      </w:pPr>
      <w:r>
        <w:rPr>
          <w:rFonts w:ascii="Calibri" w:hAnsi="Calibri" w:eastAsia="Microsoft YaHei"/>
          <w:color w:val="FFFFFF"/>
          <w:sz w:val="2"/>
        </w:rPr>
        <w:t>​</w:t>
      </w:r>
    </w:p>
    <w:p>
      <w:pPr>
        <w:pStyle w:val="Heading1"/>
      </w:pPr>
      <w:r>
        <w:rPr>
          <w:rFonts w:ascii="Calibri" w:hAnsi="Calibri" w:eastAsia="Microsoft YaHei"/>
          <w:b/>
          <w:color w:val="8A6D42"/>
          <w:sz w:val="32"/>
        </w:rPr>
        <w:t>九  合作方案与启动流程</w:t>
      </w:r>
    </w:p>
    <w:p>
      <w:pPr>
        <w:spacing w:before="0" w:after="200"/>
      </w:pPr>
      <w:r>
        <w:rPr>
          <w:rFonts w:ascii="Calibri" w:hAnsi="Calibri" w:eastAsia="Microsoft YaHei"/>
          <w:i/>
          <w:color w:val="716D65"/>
          <w:sz w:val="20"/>
        </w:rPr>
        <w:t>按角色选择权限与服务，不把账户所有权交给第三方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500"/>
        <w:gridCol w:w="2100"/>
        <w:gridCol w:w="3840"/>
        <w:gridCol w:w="1920"/>
      </w:tblGrid>
      <w:tr>
        <w:trPr>
          <w:tblHeader w:val="true"/>
          <w:cantSplit/>
        </w:trPr>
        <w:tc>
          <w:tcPr>
            <w:tcW w:type="dxa" w:w="15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24221F"/>
            <w:tcBorders>
              <w:top w:val="single" w:sz="8" w:space="0" w:color="24221F"/>
              <w:start w:val="single" w:sz="8" w:space="0" w:color="24221F"/>
              <w:bottom w:val="single" w:sz="8" w:space="0" w:color="24221F"/>
              <w:end w:val="single" w:sz="8" w:space="0" w:color="24221F"/>
              <w:insideH w:val="single" w:sz="8" w:space="0" w:color="24221F"/>
              <w:insideV w:val="single" w:sz="8" w:space="0" w:color="24221F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方案</w:t>
            </w:r>
          </w:p>
        </w:tc>
        <w:tc>
          <w:tcPr>
            <w:tcW w:type="dxa" w:w="21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24221F"/>
            <w:tcBorders>
              <w:top w:val="single" w:sz="8" w:space="0" w:color="24221F"/>
              <w:start w:val="single" w:sz="8" w:space="0" w:color="24221F"/>
              <w:bottom w:val="single" w:sz="8" w:space="0" w:color="24221F"/>
              <w:end w:val="single" w:sz="8" w:space="0" w:color="24221F"/>
              <w:insideH w:val="single" w:sz="8" w:space="0" w:color="24221F"/>
              <w:insideV w:val="single" w:sz="8" w:space="0" w:color="24221F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适用对象</w:t>
            </w:r>
          </w:p>
        </w:tc>
        <w:tc>
          <w:tcPr>
            <w:tcW w:type="dxa" w:w="38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24221F"/>
            <w:tcBorders>
              <w:top w:val="single" w:sz="8" w:space="0" w:color="24221F"/>
              <w:start w:val="single" w:sz="8" w:space="0" w:color="24221F"/>
              <w:bottom w:val="single" w:sz="8" w:space="0" w:color="24221F"/>
              <w:end w:val="single" w:sz="8" w:space="0" w:color="24221F"/>
              <w:insideH w:val="single" w:sz="8" w:space="0" w:color="24221F"/>
              <w:insideV w:val="single" w:sz="8" w:space="0" w:color="24221F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核心内容</w:t>
            </w:r>
          </w:p>
        </w:tc>
        <w:tc>
          <w:tcPr>
            <w:tcW w:type="dxa" w:w="192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24221F"/>
            <w:tcBorders>
              <w:top w:val="single" w:sz="8" w:space="0" w:color="24221F"/>
              <w:start w:val="single" w:sz="8" w:space="0" w:color="24221F"/>
              <w:bottom w:val="single" w:sz="8" w:space="0" w:color="24221F"/>
              <w:end w:val="single" w:sz="8" w:space="0" w:color="24221F"/>
              <w:insideH w:val="single" w:sz="8" w:space="0" w:color="24221F"/>
              <w:insideV w:val="single" w:sz="8" w:space="0" w:color="24221F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费用与结算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8"/>
              </w:rPr>
              <w:t>推销员合作</w:t>
            </w:r>
          </w:p>
        </w:tc>
        <w:tc>
          <w:tcPr>
            <w:tcW w:type="dxa" w:w="21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8"/>
              </w:rPr>
              <w:t>个人推广者、客户经理</w:t>
            </w:r>
          </w:p>
        </w:tc>
        <w:tc>
          <w:tcPr>
            <w:tcW w:type="dxa" w:w="384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8"/>
              </w:rPr>
              <w:t>授权商品、客户协助、订单与佣金账本、培训</w:t>
            </w:r>
          </w:p>
        </w:tc>
        <w:tc>
          <w:tcPr>
            <w:tcW w:type="dxa" w:w="192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8"/>
              </w:rPr>
              <w:t>以后台规则和正式协议为准</w:t>
            </w:r>
          </w:p>
        </w:tc>
      </w:tr>
      <w:tr>
        <w:trPr>
          <w:cantSplit/>
        </w:trPr>
        <w:tc>
          <w:tcPr>
            <w:tcW w:type="dxa" w:w="150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8"/>
              </w:rPr>
              <w:t>卖家入驻</w:t>
            </w:r>
          </w:p>
        </w:tc>
        <w:tc>
          <w:tcPr>
            <w:tcW w:type="dxa" w:w="210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8"/>
              </w:rPr>
              <w:t>品牌方、供应商、履约团队</w:t>
            </w:r>
          </w:p>
        </w:tc>
        <w:tc>
          <w:tcPr>
            <w:tcW w:type="dxa" w:w="384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8"/>
              </w:rPr>
              <w:t>商品与库存、订单、采购、物流、结算与提现</w:t>
            </w:r>
          </w:p>
        </w:tc>
        <w:tc>
          <w:tcPr>
            <w:tcW w:type="dxa" w:w="192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8"/>
              </w:rPr>
              <w:t>以类目、服务和正式协议为准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8"/>
              </w:rPr>
              <w:t>团队合作</w:t>
            </w:r>
          </w:p>
        </w:tc>
        <w:tc>
          <w:tcPr>
            <w:tcW w:type="dxa" w:w="21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8"/>
              </w:rPr>
              <w:t>拥有多名推销员或卖家资源的组织</w:t>
            </w:r>
          </w:p>
        </w:tc>
        <w:tc>
          <w:tcPr>
            <w:tcW w:type="dxa" w:w="384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8"/>
              </w:rPr>
              <w:t>成员分工、卖家分配、任务管理、数据汇总与审计</w:t>
            </w:r>
          </w:p>
        </w:tc>
        <w:tc>
          <w:tcPr>
            <w:tcW w:type="dxa" w:w="192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8"/>
              </w:rPr>
              <w:t>按团队规模与服务范围协商</w:t>
            </w:r>
          </w:p>
        </w:tc>
      </w:tr>
    </w:tbl>
    <w:p>
      <w:pPr>
        <w:spacing w:after="40"/>
      </w:pPr>
    </w:p>
    <w:p>
      <w:pPr>
        <w:pStyle w:val="Heading2"/>
      </w:pPr>
      <w:r>
        <w:t>启动步骤</w:t>
      </w:r>
    </w:p>
    <w:p>
      <w:pPr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1.  需求确认：明确合作角色、目标市场、类目、预计订单量和责任边界。</w:t>
      </w:r>
    </w:p>
    <w:p>
      <w:pPr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2.  资料审核：完成账号、主体、收款与必要经营资质核验。</w:t>
      </w:r>
    </w:p>
    <w:p>
      <w:pPr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3.  测试环境：使用测试账号完成登录、商品、下单、取消、退款、物流和结算演练。</w:t>
      </w:r>
    </w:p>
    <w:p>
      <w:pPr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4.  权限开通：按最小权限原则开通正式账号，不共享超级管理员凭据。</w:t>
      </w:r>
    </w:p>
    <w:p>
      <w:pPr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5.  小流量试运行：限制商品、客户与任务规模，观察错误率、履约和售后。</w:t>
      </w:r>
    </w:p>
    <w:p>
      <w:pPr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6.  正式扩展与复盘：达标后再增加规模，并按周检查订单、退款、结算、队列、客服和安全异常。</w:t>
      </w:r>
    </w:p>
    <w:p>
      <w:pPr>
        <w:pStyle w:val="Heading2"/>
      </w:pPr>
      <w:r>
        <w:t>上线验收清单</w:t>
      </w:r>
    </w:p>
    <w:p>
      <w:pPr>
        <w:pStyle w:val="ListBullet"/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买家、卖家、推销员、管理员均可独立登录；下单、扣款、库存预留、订单创建和邮件通知不可重复。</w:t>
      </w:r>
    </w:p>
    <w:p>
      <w:pPr>
        <w:pStyle w:val="ListBullet"/>
        <w:spacing w:after="80" w:line="290" w:lineRule="auto"/>
      </w:pPr>
      <w:r>
        <w:rPr>
          <w:rFonts w:ascii="Calibri" w:hAnsi="Calibri" w:eastAsia="Microsoft YaHei"/>
          <w:color w:val="24221F"/>
          <w:sz w:val="21"/>
        </w:rPr>
        <w:t>定时任务可在执行前取消；采购、物流、结算及治理、恢复流程可后台持续并保持可审计。</w:t>
      </w:r>
    </w:p>
    <w:p>
      <w:pPr>
        <w:keepNext/>
        <w:pageBreakBefore/>
        <w:spacing w:before="0" w:after="0" w:line="20" w:lineRule="exact"/>
      </w:pPr>
      <w:r>
        <w:rPr>
          <w:rFonts w:ascii="Calibri" w:hAnsi="Calibri" w:eastAsia="Microsoft YaHei"/>
          <w:color w:val="FFFFFF"/>
          <w:sz w:val="2"/>
        </w:rPr>
        <w:t>​</w:t>
      </w:r>
    </w:p>
    <w:p>
      <w:pPr>
        <w:spacing w:before="0" w:after="160"/>
      </w:pPr>
      <w:r>
        <w:rPr>
          <w:rFonts w:ascii="Calibri" w:hAnsi="Calibri" w:eastAsia="Microsoft YaHei"/>
          <w:b/>
          <w:color w:val="B18B4F"/>
          <w:sz w:val="18"/>
        </w:rPr>
        <w:t>FINAL NOTE</w:t>
      </w:r>
    </w:p>
    <w:p>
      <w:pPr>
        <w:spacing w:before="0" w:after="240"/>
        <w:jc w:val="left"/>
      </w:pPr>
      <w:r>
        <w:rPr>
          <w:rFonts w:ascii="Georgia" w:hAnsi="Georgia" w:eastAsia="Microsoft YaHei"/>
          <w:b w:val="0"/>
          <w:color w:val="24221F"/>
          <w:sz w:val="54"/>
        </w:rPr>
        <w:t>把增长建立在真实交易上</w:t>
      </w:r>
    </w:p>
    <w:p>
      <w:pPr>
        <w:jc w:val="both"/>
      </w:pPr>
      <w:r>
        <w:rPr>
          <w:rFonts w:ascii="Calibri" w:hAnsi="Calibri" w:eastAsia="Microsoft YaHei"/>
          <w:color w:val="24221F"/>
          <w:sz w:val="22"/>
        </w:rPr>
        <w:t>Fordeal 的合作价值不在于把风险隐藏起来，而在于让商品、客户、订单、履约和资金在同一套规则中被看见、被管理、被核验。长期可持续的增长来自真实商品、真实客户、可靠履约、清晰结算和持续运营。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B18B4F"/>
                <w:sz w:val="20"/>
              </w:rPr>
              <w:t>对外发布前必须补齐</w:t>
            </w:r>
          </w:p>
          <w:p>
            <w:pPr>
              <w:spacing w:after="0" w:line="300" w:lineRule="auto"/>
            </w:pPr>
            <w:r>
              <w:rPr>
                <w:rFonts w:ascii="Calibri" w:hAnsi="Calibri" w:eastAsia="Microsoft YaHei"/>
                <w:color w:val="24221F"/>
                <w:sz w:val="21"/>
              </w:rPr>
              <w:t>① 平台主体和联系信息；② 经核验的真实指标；③ 已获授权的案例；④ 正式费率、佣金、结算与退款规则；⑤ 适用地区的隐私、税务和电商合规说明。</w:t>
            </w:r>
          </w:p>
        </w:tc>
      </w:tr>
    </w:tbl>
    <w:p>
      <w:pPr>
        <w:spacing w:after="40"/>
      </w:pPr>
    </w:p>
    <w:p>
      <w:pPr>
        <w:pStyle w:val="Heading2"/>
      </w:pPr>
      <w:r>
        <w:t>建议联系方式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800"/>
        <w:gridCol w:w="7560"/>
      </w:tblGrid>
      <w:tr>
        <w:trPr>
          <w:tblHeader w:val="true"/>
          <w:cantSplit/>
        </w:trPr>
        <w:tc>
          <w:tcPr>
            <w:tcW w:type="dxa" w:w="18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24221F"/>
            <w:tcBorders>
              <w:top w:val="single" w:sz="8" w:space="0" w:color="24221F"/>
              <w:start w:val="single" w:sz="8" w:space="0" w:color="24221F"/>
              <w:bottom w:val="single" w:sz="8" w:space="0" w:color="24221F"/>
              <w:end w:val="single" w:sz="8" w:space="0" w:color="24221F"/>
              <w:insideH w:val="single" w:sz="8" w:space="0" w:color="24221F"/>
              <w:insideV w:val="single" w:sz="8" w:space="0" w:color="24221F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项目</w:t>
            </w:r>
          </w:p>
        </w:tc>
        <w:tc>
          <w:tcPr>
            <w:tcW w:type="dxa" w:w="75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24221F"/>
            <w:tcBorders>
              <w:top w:val="single" w:sz="8" w:space="0" w:color="24221F"/>
              <w:start w:val="single" w:sz="8" w:space="0" w:color="24221F"/>
              <w:bottom w:val="single" w:sz="8" w:space="0" w:color="24221F"/>
              <w:end w:val="single" w:sz="8" w:space="0" w:color="24221F"/>
              <w:insideH w:val="single" w:sz="8" w:space="0" w:color="24221F"/>
              <w:insideV w:val="single" w:sz="8" w:space="0" w:color="24221F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信息</w:t>
            </w:r>
          </w:p>
        </w:tc>
      </w:tr>
      <w:tr>
        <w:trPr>
          <w:cantSplit/>
        </w:trPr>
        <w:tc>
          <w:tcPr>
            <w:tcW w:type="dxa" w:w="18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9"/>
              </w:rPr>
              <w:t>商城入口</w:t>
            </w:r>
          </w:p>
        </w:tc>
        <w:tc>
          <w:tcPr>
            <w:tcW w:type="dxa" w:w="756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https://fordeal.me/marketplace</w:t>
            </w:r>
          </w:p>
        </w:tc>
      </w:tr>
      <w:tr>
        <w:trPr>
          <w:cantSplit/>
        </w:trPr>
        <w:tc>
          <w:tcPr>
            <w:tcW w:type="dxa" w:w="180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9"/>
              </w:rPr>
              <w:t>平台客服</w:t>
            </w:r>
          </w:p>
        </w:tc>
        <w:tc>
          <w:tcPr>
            <w:tcW w:type="dxa" w:w="756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https://fordeal.me/support</w:t>
            </w:r>
          </w:p>
        </w:tc>
      </w:tr>
      <w:tr>
        <w:trPr>
          <w:cantSplit/>
        </w:trPr>
        <w:tc>
          <w:tcPr>
            <w:tcW w:type="dxa" w:w="180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9"/>
              </w:rPr>
              <w:t>商务邮箱</w:t>
            </w:r>
          </w:p>
        </w:tc>
        <w:tc>
          <w:tcPr>
            <w:tcW w:type="dxa" w:w="7560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待平台超级管理员确认后填写</w:t>
            </w:r>
          </w:p>
        </w:tc>
      </w:tr>
      <w:tr>
        <w:trPr>
          <w:cantSplit/>
        </w:trPr>
        <w:tc>
          <w:tcPr>
            <w:tcW w:type="dxa" w:w="180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center"/>
            </w:pPr>
            <w:r>
              <w:rPr>
                <w:rFonts w:ascii="Calibri" w:hAnsi="Calibri" w:eastAsia="Microsoft YaHei"/>
                <w:color w:val="24221F"/>
                <w:sz w:val="19"/>
              </w:rPr>
              <w:t>版本与日期</w:t>
            </w:r>
          </w:p>
        </w:tc>
        <w:tc>
          <w:tcPr>
            <w:tcW w:type="dxa" w:w="7560"/>
            <w:shd w:fill="F8F6F2"/>
            <w:tcBorders>
              <w:top w:val="single" w:sz="8" w:space="0" w:color="E6E1D8"/>
              <w:start w:val="single" w:sz="8" w:space="0" w:color="E6E1D8"/>
              <w:bottom w:val="single" w:sz="8" w:space="0" w:color="E6E1D8"/>
              <w:end w:val="single" w:sz="8" w:space="0" w:color="E6E1D8"/>
              <w:insideH w:val="single" w:sz="8" w:space="0" w:color="E6E1D8"/>
              <w:insideV w:val="single" w:sz="8" w:space="0" w:color="E6E1D8"/>
            </w:tcBorders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  <w:jc w:val="left"/>
            </w:pPr>
            <w:r>
              <w:rPr>
                <w:rFonts w:ascii="Calibri" w:hAnsi="Calibri" w:eastAsia="Microsoft YaHei"/>
                <w:color w:val="24221F"/>
                <w:sz w:val="19"/>
              </w:rPr>
              <w:t>V1.0 · 2026年8月</w:t>
            </w:r>
          </w:p>
        </w:tc>
      </w:tr>
    </w:tbl>
    <w:p>
      <w:pPr>
        <w:spacing w:after="40"/>
      </w:pPr>
    </w:p>
    <w:p>
      <w:pPr>
        <w:spacing w:before="560"/>
        <w:jc w:val="center"/>
      </w:pPr>
      <w:r>
        <w:rPr>
          <w:rFonts w:ascii="Calibri" w:hAnsi="Calibri" w:eastAsia="Microsoft YaHei"/>
          <w:b/>
          <w:color w:val="B18B4F"/>
          <w:sz w:val="20"/>
        </w:rPr>
        <w:t>FORDEAL · GLOBAL SELECTS</w:t>
      </w:r>
    </w:p>
    <w:sectPr w:rsidR="00FC693F" w:rsidRPr="0006063C" w:rsidSect="00034616"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360"/>
      <w:jc w:val="left"/>
      <w:tblLayout w:type="fixed"/>
      <w:tblLook w:firstColumn="1" w:firstRow="1" w:lastColumn="0" w:lastRow="0" w:noHBand="0" w:noVBand="1" w:val="04A0"/>
      <w:tblInd w:w="0" w:type="dxa"/>
    </w:tblPr>
    <w:tblGrid>
      <w:gridCol w:w="7200"/>
      <w:gridCol w:w="2160"/>
    </w:tblGrid>
    <w:tr>
      <w:tc>
        <w:tcPr>
          <w:tcW w:type="dxa" w:w="7200"/>
          <w:tcMar>
            <w:top w:w="0" w:type="dxa"/>
            <w:start w:w="0" w:type="dxa"/>
            <w:bottom w:w="0" w:type="dxa"/>
            <w:end w:w="0" w:type="dxa"/>
          </w:tcMar>
          <w:vAlign w:val="center"/>
          <w:tcBorders>
            <w:top w:val="single" w:sz="8" w:space="0" w:color="FFFFFF"/>
            <w:start w:val="single" w:sz="8" w:space="0" w:color="FFFFFF"/>
            <w:end w:val="single" w:sz="8" w:space="0" w:color="FFFFFF"/>
            <w:bottom w:val="single" w:sz="8" w:space="0" w:color="FFFFFF"/>
          </w:tcBorders>
        </w:tcPr>
        <w:p>
          <w:pPr>
            <w:spacing w:after="0"/>
          </w:pPr>
          <w:r>
            <w:rPr>
              <w:rFonts w:ascii="Calibri" w:hAnsi="Calibri" w:eastAsia="Microsoft YaHei"/>
              <w:color w:val="716D65"/>
              <w:sz w:val="17"/>
            </w:rPr>
            <w:t>Fordeal 全球好物合作增长计划</w:t>
          </w:r>
        </w:p>
      </w:tc>
      <w:tc>
        <w:tcPr>
          <w:tcW w:type="dxa" w:w="2160"/>
          <w:tcMar>
            <w:top w:w="0" w:type="dxa"/>
            <w:start w:w="0" w:type="dxa"/>
            <w:bottom w:w="0" w:type="dxa"/>
            <w:end w:w="0" w:type="dxa"/>
          </w:tcMar>
          <w:vAlign w:val="center"/>
          <w:tcBorders>
            <w:top w:val="single" w:sz="8" w:space="0" w:color="FFFFFF"/>
            <w:start w:val="single" w:sz="8" w:space="0" w:color="FFFFFF"/>
            <w:end w:val="single" w:sz="8" w:space="0" w:color="FFFFFF"/>
            <w:bottom w:val="single" w:sz="8" w:space="0" w:color="FFFFFF"/>
          </w:tcBorders>
        </w:tcPr>
        <w:p>
          <w:pPr>
            <w:jc w:val="right"/>
          </w:pPr>
          <w:r>
            <w:rPr>
              <w:rFonts w:ascii="Calibri" w:hAnsi="Calibri" w:eastAsia="Microsoft YaHei"/>
              <w:color w:val="716D65"/>
              <w:sz w:val="18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Microsoft YaHei"/>
        <w:color w:val="716D65"/>
        <w:sz w:val="17"/>
      </w:rPr>
      <w:t>本资料用于平台介绍与合作沟通，不构成收益承诺或投资建议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 w:eastAsia="Microsoft YaHei"/>
        <w:b/>
        <w:color w:val="716D65"/>
        <w:sz w:val="17"/>
      </w:rPr>
      <w:t>FORDEAL · GLOBAL SELECTS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60" w:line="320" w:lineRule="auto"/>
      <w:jc w:val="both"/>
    </w:pPr>
    <w:rPr>
      <w:rFonts w:ascii="Calibri" w:hAnsi="Calibri" w:eastAsia="Microsoft YaHei"/>
      <w:color w:val="24221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8A6D4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8A6D4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24221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90" w:lineRule="auto"/>
      <w:ind w:left="540" w:hanging="279"/>
      <w:contextualSpacing/>
    </w:pPr>
    <w:rPr>
      <w:rFonts w:ascii="Calibri" w:hAnsi="Calibri" w:eastAsia="Microsoft YaHe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90" w:lineRule="auto"/>
      <w:ind w:left="540" w:hanging="279"/>
      <w:contextualSpacing/>
    </w:pPr>
    <w:rPr>
      <w:rFonts w:ascii="Calibri" w:hAnsi="Calibri" w:eastAsia="Microsoft YaHe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Fordeal 全球好物合作增长计划</dc:title>
  <dc:subject>Fordeal 平台合作、推广与运营方案</dc:subject>
  <dc:creator>Fordeal</dc:creator>
  <cp:keywords>Fordeal, 全球好物, 卖家, 推销员, 电商平台, 合作计划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